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cembrae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cembrae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cembrae</w:t>
            </w:r>
            <w:r>
              <w:rPr>
                <w:rFonts w:ascii="Calibri" w:hAnsi="Calibri" w:eastAsia="Calibri" w:cs="Calibri"/>
                <w:color w:val="000000"/>
                <w:position w:val="-3"/>
                <w:sz w:val="22"/>
                <w:szCs w:val="22"/>
              </w:rPr>
              <w:t xml:space="preserve"> Heer, </w:t>
            </w:r>
            <w:r>
              <w:rPr>
                <w:rFonts w:ascii="Calibri" w:hAnsi="Calibri" w:eastAsia="Calibri" w:cs="Calibri"/>
                <w:i/>
                <w:iCs/>
                <w:color w:val="000000"/>
                <w:position w:val="-3"/>
                <w:sz w:val="22"/>
                <w:szCs w:val="22"/>
              </w:rPr>
              <w:t xml:space="preserve">Ips cembrae engadinensis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shinanoensis</w:t>
            </w:r>
            <w:r>
              <w:rPr>
                <w:rFonts w:ascii="Calibri" w:hAnsi="Calibri" w:eastAsia="Calibri" w:cs="Calibri"/>
                <w:color w:val="000000"/>
                <w:position w:val="-3"/>
                <w:sz w:val="22"/>
                <w:szCs w:val="22"/>
              </w:rPr>
              <w:t xml:space="preserve"> Yano, </w:t>
            </w:r>
            <w:r>
              <w:rPr>
                <w:rFonts w:ascii="Calibri" w:hAnsi="Calibri" w:eastAsia="Calibri" w:cs="Calibri"/>
                <w:i/>
                <w:iCs/>
                <w:color w:val="000000"/>
                <w:position w:val="-3"/>
                <w:sz w:val="22"/>
                <w:szCs w:val="22"/>
              </w:rPr>
              <w:t xml:space="preserve">Tomicus subelongatus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large larch bark beetle</w:t>
            </w:r>
            <w:hyperlink r:id="rId8626664ae5f0999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8817664ae5f09995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IPSXCE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13026" name="name9895664ae5f09a24b" descr="1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7.jpg"/>
                          <pic:cNvPicPr/>
                        </pic:nvPicPr>
                        <pic:blipFill>
                          <a:blip r:embed="rId5835664ae5f09a249" cstate="print"/>
                          <a:stretch>
                            <a:fillRect/>
                          </a:stretch>
                        </pic:blipFill>
                        <pic:spPr>
                          <a:xfrm>
                            <a:off x="0" y="0"/>
                            <a:ext cx="2160000" cy="1281600"/>
                          </a:xfrm>
                          <a:prstGeom prst="rect">
                            <a:avLst/>
                          </a:prstGeom>
                          <a:ln w="0">
                            <a:noFill/>
                          </a:ln>
                        </pic:spPr>
                      </pic:pic>
                    </a:graphicData>
                  </a:graphic>
                </wp:inline>
              </w:drawing>
            </w:r>
            <w:hyperlink r:id="rId5285664ae5f09a35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attacking larch in Europe and Asia has been studied using mitochondrial gene sequences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These studies confirm that the European species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the Asian species </w:t>
      </w:r>
      <w:r>
        <w:rPr>
          <w:rFonts w:ascii="Calibri" w:hAnsi="Calibri" w:eastAsia="Calibri" w:cs="Calibri"/>
          <w:i/>
          <w:iCs/>
          <w:color w:val="000000"/>
          <w:sz w:val="22"/>
          <w:szCs w:val="22"/>
        </w:rPr>
        <w:t xml:space="preserve">Ips subelongatus </w:t>
      </w:r>
      <w:r>
        <w:rPr>
          <w:rFonts w:ascii="Calibri" w:hAnsi="Calibri" w:eastAsia="Calibri" w:cs="Calibri"/>
          <w:color w:val="000000"/>
          <w:sz w:val="22"/>
          <w:szCs w:val="22"/>
        </w:rPr>
        <w:t xml:space="preserve">were closely related, but had distinct haplotypes which probably diverged due to geographical separation, and therefore that they may be considered as separate species. Additional support for this is provided by the distinct assemblages of blue-stain fungi associated with the European and Asian beetles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albeit characterised from beetles living on different host tree species. Morphologically very similar,</w:t>
      </w:r>
      <w:r>
        <w:rPr>
          <w:rFonts w:ascii="Calibri" w:hAnsi="Calibri" w:eastAsia="Calibri" w:cs="Calibri"/>
          <w:i/>
          <w:iCs/>
          <w:color w:val="000000"/>
          <w:sz w:val="22"/>
          <w:szCs w:val="22"/>
        </w:rPr>
        <w:t xml:space="preserve"> I. cembrae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by a less setose elytral declivity (Cognato, 2015), but uncertain specimens are best diagnosed using DNA sequencing. Other putative taxa </w:t>
      </w:r>
      <w:r>
        <w:rPr>
          <w:rFonts w:ascii="Calibri" w:hAnsi="Calibri" w:eastAsia="Calibri" w:cs="Calibri"/>
          <w:i/>
          <w:iCs/>
          <w:color w:val="000000"/>
          <w:sz w:val="22"/>
          <w:szCs w:val="22"/>
        </w:rPr>
        <w:t xml:space="preserve">I. fallax, I. shinanoensis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engadinensis</w:t>
      </w:r>
      <w:r>
        <w:rPr>
          <w:rFonts w:ascii="Calibri" w:hAnsi="Calibri" w:eastAsia="Calibri" w:cs="Calibri"/>
          <w:color w:val="000000"/>
          <w:sz w:val="22"/>
          <w:szCs w:val="22"/>
        </w:rPr>
        <w:t xml:space="preserve"> were not found to differ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can be considered as synonyms. With respect to the Eurasian region covered by EPPO</w:t>
      </w:r>
      <w:r>
        <w:rPr>
          <w:rFonts w:ascii="Calibri" w:hAnsi="Calibri" w:eastAsia="Calibri" w:cs="Calibri"/>
          <w:i/>
          <w:iCs/>
          <w:color w:val="000000"/>
          <w:sz w:val="22"/>
          <w:szCs w:val="22"/>
        </w:rPr>
        <w:t xml:space="preserve">, 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 and documented separately.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European larch, is the main host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but exotic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planted in Europe, such as </w:t>
      </w: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Japanese larch and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hybrid larch are also attacked. The beetle typically breeds in freshly-cut logs, windthrown stems or storm-damaged or dying trees, but it sometimes attacks standing live trees subject to localized stress, such as drought.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may occasionally breed in species of the genera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but only when larch hosts are limited in availability, and never as primary pests. Some alternative host reports may reflect misidentifications of other species such as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Ips typographus</w:t>
      </w:r>
      <w:r>
        <w:rPr>
          <w:rFonts w:ascii="Calibri" w:hAnsi="Calibri" w:eastAsia="Calibri" w:cs="Calibri"/>
          <w:color w:val="000000"/>
          <w:sz w:val="22"/>
          <w:szCs w:val="22"/>
        </w:rPr>
        <w:t xml:space="preserve"> (Balogun, 1963), for example reports of</w:t>
      </w:r>
      <w:r>
        <w:rPr>
          <w:rFonts w:ascii="Calibri" w:hAnsi="Calibri" w:eastAsia="Calibri" w:cs="Calibri"/>
          <w:i/>
          <w:iCs/>
          <w:color w:val="000000"/>
          <w:sz w:val="22"/>
          <w:szCs w:val="22"/>
        </w:rPr>
        <w:t xml:space="preserve"> I. cembrae</w:t>
      </w:r>
      <w:r>
        <w:rPr>
          <w:rFonts w:ascii="Calibri" w:hAnsi="Calibri" w:eastAsia="Calibri" w:cs="Calibri"/>
          <w:color w:val="000000"/>
          <w:sz w:val="22"/>
          <w:szCs w:val="22"/>
        </w:rPr>
        <w:t xml:space="preserve"> development in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seem to be erroneous (Grodzki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native to Europe and occurs there throughout the natural range of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and most of the planted range of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It is present only in Europe (including non-EU regions of Central and Northern Russia, Ukraine, Switzerland and mainland United Kingdom); reports of its presence in Asia are considered to relate to the closely related species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Ips cembrae</w:t>
      </w:r>
      <w:r>
        <w:rPr>
          <w:rFonts w:ascii="Calibri" w:hAnsi="Calibri" w:eastAsia="Calibri" w:cs="Calibri"/>
          <w:color w:val="000000"/>
          <w:sz w:val="22"/>
          <w:szCs w:val="22"/>
        </w:rPr>
        <w:t xml:space="preserve"> is absent in some areas such as Greece, Ireland and parts of the United Kingdom (Northern Ireland, Isle of Man), which have protected zone status.</w:t>
      </w:r>
    </w:p>
    <w:p>
      <w:r>
        <w:drawing>
          <wp:inline distT="0" distB="0" distL="0" distR="0">
            <wp:extent cx="6120000" cy="3067200"/>
            <wp:docPr id="7931351" name="name1437664ae5f09b62d" descr="IPSXC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CE_distribution_map.jpg"/>
                    <pic:cNvPicPr/>
                  </pic:nvPicPr>
                  <pic:blipFill>
                    <a:blip r:embed="rId9195664ae5f09b62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Denmark, France (mainland), Germany, Hungary, Italy (mainland), Netherlands, Poland, Romania, Russia (Central Russia, Northern Russia), Slovakia, Slovenia, Sweden, Switzerland, Ukraine, United Kingdom (England, Scotland)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can overwinter as larvae, pupae or young adults under the bark of host trees, and commonly as mature adults in the forest litter. Adults disperse by flight on warm days from late-April until late summer, depending upon local climate, temperature, and altitude, which influence generation time and adult emergence. There may be one or two generations each year depending on the length of the summer season in a location. Peaks in flight activity are often observed around May and again around August (Balogun 1963; Grucmanová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Males tunnel into the bark of suitable host material, and excavate a nuptial chamber in the phloem; thicker bark of larger stems is preferred, but this can be in branches as small as 3 cm in diameter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then release an aggregation pheromone which attracts females (and other males to the host material) (Stoakley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Up to five females (typically three) join each male, and establish individual maternal galleries radiating away from the nuptial chamber, along which they lay up to 50 eggs spaced at regular intervals. Adults may then emerge to start a new sister-brood. Newly hatched larvae begin to excavate galleries as they feed, perpendicular to the maternal gallery. Development is temperature-dependent requiring around 120 days at a constant 15°C, but only around half that time at 20°C (Schebeck &amp; Schopf, 2016). New adults must undergo maturation feeding before becoming reproductively mature, either within the same material where they developed, or else within young twigs on suitable host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occurs under thick bark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Signs of attack include the presence of frass ejected by tunnelling adults, which may collect on bark scales or the ground below. Maturation feeding by adults within the twigs of healthy trees can result in significant foliage loss where populations are large, and twigs broken by tunnelling may be found at the base of the trees. Trees severely damaged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will exhibit dieback and eventually discoloured and dead canopies. Woodpecker activity (pecked holes) may be extensive where galleries are abundant beneath the bark. Removal of the bark from infested trees will reveal distinctive gallery systems with 1 to 5 maternal galleries radiating from a central nuptial chamber, with smaller perpendicular larval galleries at regular intervals along the maternal galleries. Three female galleries commonly diverge longitudinally from the nuptial chamber, two in one direction and one in the opposite direction. Female galleries are typically 13-17 cm in length, but may be up to 25 cm. In active gallery systems larvae, pupae and adults may be found; the adults are the most easily identified.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eggs are initially translucent, becoming creamy-white, and are oval in shape and approximately 1 mm long. They are laid individually in niches along both sides of the maternal gallery.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Creamy-white, legless, cylindrical grub with a curved body and yellow-brown head capsule. When fully grown, they are approximately 5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Uniformly white, gradually darkening to pale brown, 4.5 - 5 mm in length. Adult structures are apparent, including antennae, legs, and wings, folded against the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Typical cylindrical bark beetle body form, light brown when newly emerged, becoming dark brown to black; approximately 5 mm long and 2 mm wide. The head is concealed from above by the pronotum, which bears wrinkles and minute teeth apically and laterally, whilst the elytra bears rows of deep punctures (striae). The body has a shiny surface and is covered in long yellowish hairs. There are four spines on each side of the elytral declivity (8 in total); the third from the top is the largest, with a broad ‘head’ (Balachowsky, 1949; Grüne, 1979).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Bark beetle traps (e.g. slot, multi-funnel, or cross-vane types) baited with commercially available pheromone may be employed to monitor population levels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during the period of adult flight activity. Girdled trap trees or freshly felled stems will attract adults, and may be assessed by peeling away the bark to reveal the gallery systems. Attacked trees become apparent once they exhibit canopy dieback and needle discoloration. Groups of attacked trees may be identified by aerial surveillance combined with a follow-up ground survey to confirm the presence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infestation, and this may help to identify sites at risk of further damage.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potentially travelling tens of km. In the field however, flight has only been observed to take place over limited distances (usually to nearby suitable host material), and usually downwind. Movement over longer distances can occur via human-assisted spread, in infested wood, bark, and wood packaging material. For example,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believed to have been introduced into Great Britain in timber shipments from Germany in the late 1940s, and it has been intercepted on wood imported into Sweden from Central Europe, where it appears also to have recently established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generally considered a secondary pest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recently felled logs, windthrown stems, and dying trees. However, an abundant breeding resource such as fresh thinning residues can promote major population growth and facilitate subsequent attack on live standing trees, whilst drought conditions on drier sites are recognized to weaken trees and leave them susceptible to attack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Grodzki ,2008). Adults carry out maturation feeding on young twigs, so large populations can cause additional damage to live trees when this results in shoot pruning and defoliation. Initial attacks upon live host trees may be concentrated within a relatively limited area on the stem (mediated by pheromone aggregation) and potentially resulting in crown dieback, but tend to be more diffuse along the stem on windthrown or dying trees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for other conifer bark beetles,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associated with a considerable diversity of fungi, most notably ophiostomatoid species, including ‘blue stain’ fungi (Jankowiak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most important of these is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laricicola</w:t>
      </w:r>
      <w:r>
        <w:rPr>
          <w:rFonts w:ascii="Calibri" w:hAnsi="Calibri" w:eastAsia="Calibri" w:cs="Calibri"/>
          <w:color w:val="000000"/>
          <w:sz w:val="22"/>
          <w:szCs w:val="22"/>
        </w:rPr>
        <w:t xml:space="preserve"> which kills bark and cambium in the host tree, stains the sapwood and likely contributes to the dieback of and killing of larch during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outbreaks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 area requiring further investigation is the relationship between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 invasive oomycete pathogen which has caused large-scale dieback and death of larch plantations across Great Britain, but which has also been detected across Western and Central Europe (Brasier &amp; Webber, 2010,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It remains unclear whether the pathogen may influence population growth or damage by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affected larch.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against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tend to be limited because of its status as a secondary pest. However, population build-up may be generated by an abundance of suitable breeding material, including thinning residues and harvested logs from forest operations, and on occasion, standing live trees which have been severely weakened by environmental stresses such as drought. To prevent this, felling and thinning residues should be disposed of promptly, for example by chipping and burning, and cut logs removed from site before the adult flight season to prevent colonization. Highly stressed larch stands identified as being at risk from attack, for example on poor drought-prone sites, may be pre-emptively felled or thinned.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is listed in Annex IIB of Council Directive 2000/29/EC, and is considered a protected zone quarantine pest in Greece, Ireland and parts of the United Kingdom (Northern Ireland, Isle of Man), where the species is not present and quarantine measures are implemented to prevent entry (EFSA, 2017). Elsewhere,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widespread and not considered to be a quarantine pest. It is not a primary pest and only attacks trees already weakened by contributory stress factors, typically environmental or from other pests and diseases. It is therefore a much less damaging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and presents a much lower risk to the protected zones.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has been introduced into areas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are planted (mainland UK, Netherlands, Sweden), and to date has behaved there in the same way as in its natural range.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protected zones of Greece, Ireland, Northern Ireland, and the Isle of Man where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considered to be a quarantine pest, phytosanitary measures are available to prevent introduction of the pest with wood and bark. These include debarking of wood, and heat treatment of wood, bark and chips, considered to be effective where isolated areas cannot be reached by natural spread, as specified in Annex IVB of Council Directive 2000/29/EC.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Balogun R (1963) Biological and population studies on the larch bark beetle,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(Coleoptera, Scolytidae). MSc Thesis, University of Edinburgh.</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Webber J (2010) Sudden larch death.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Academic Press, pp 351-370.</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(2008)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Heer (Col.: Curculionidae, Scolytinae) in young larch stands–a new problem in Poland.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Grodzki W, Zięba A, Zwijacz-Kozica T (2019) Zamieranie limby w Tatrach–ocena skali zjawiska i roli owadów kambiofagicznych (Swiss stone pine dieback in the Tatra Mts. – assessment of intensity and impact of cambiophagous insects). In Polish with English summary. </w:t>
      </w:r>
      <w:r>
        <w:rPr>
          <w:rFonts w:ascii="Calibri" w:hAnsi="Calibri" w:eastAsia="Calibri" w:cs="Calibri"/>
          <w:i/>
          <w:iCs/>
          <w:color w:val="000000"/>
          <w:sz w:val="22"/>
          <w:szCs w:val="22"/>
        </w:rPr>
        <w:t xml:space="preserve">Sylwan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(10), 795-801.</w:t>
      </w:r>
    </w:p>
    <w:p>
      <w:pPr>
        <w:widowControl w:val="on"/>
        <w:pBdr/>
        <w:spacing w:before="220" w:after="220" w:line="240" w:lineRule="auto"/>
        <w:ind w:left="0" w:right="0"/>
        <w:jc w:val="left"/>
      </w:pPr>
      <w:r>
        <w:rPr>
          <w:rFonts w:ascii="Calibri" w:hAnsi="Calibri" w:eastAsia="Calibri" w:cs="Calibri"/>
          <w:color w:val="000000"/>
          <w:sz w:val="22"/>
          <w:szCs w:val="22"/>
        </w:rPr>
        <w:t xml:space="preserve">Grucmanová S, Holuša J, Trombik J, Lukášová K (2014) Large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(Coleoptera: Curculionidae, Scolytinae) in the Czech Republic: analysis of population development and catches in pheromone traps. </w:t>
      </w:r>
      <w:r>
        <w:rPr>
          <w:rFonts w:ascii="Calibri" w:hAnsi="Calibri" w:eastAsia="Calibri" w:cs="Calibri"/>
          <w:i/>
          <w:iCs/>
          <w:color w:val="000000"/>
          <w:sz w:val="22"/>
          <w:szCs w:val="22"/>
        </w:rPr>
        <w:t xml:space="preserve">Lesnícky Časopis Forestry Journal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Kula E, Wewiora F, Lukášová K (2014) Flight activity, within the trap tree abundance and overwintering of the larch bark beetle (Ips cembrae) in Czech Republic.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(1-2), 19-27.</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Rossa R, Mista K (2007) Survey of fungal species vectored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to European larch trees in Raciborskie forests (Poland).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227-239.</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Schebeck M, Schopf A (2016) Temperature-dependent development of the European larch bark beetle, </w:t>
      </w:r>
      <w:r>
        <w:rPr>
          <w:rFonts w:ascii="Calibri" w:hAnsi="Calibri" w:eastAsia="Calibri" w:cs="Calibri"/>
          <w:i/>
          <w:iCs/>
          <w:color w:val="000000"/>
          <w:sz w:val="22"/>
          <w:szCs w:val="22"/>
        </w:rPr>
        <w:t xml:space="preserve">Ips cembrae.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Saurat C, Guinet C, Fourrier-Jeandel C, Roche L, Bouvet A, Husson C, Saintonge FX, Contal C Loos R (2018) First report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Japanese larch dieback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2045.</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CH, Kirisits TH, Nussbaumer CH, Pavlin R, Wingfield MJ (2001) Phylogenetic relationships between the European and Asian eight 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Vité JP (1978)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(large larch bark beetle)  </w:t>
      </w:r>
      <w:hyperlink r:id="rId1668664ae5f09c6b1" w:history="1">
        <w:r>
          <w:rPr>
            <w:rFonts w:ascii="Calibri" w:hAnsi="Calibri" w:eastAsia="Calibri" w:cs="Calibri"/>
            <w:color w:val="0000CC"/>
            <w:sz w:val="22"/>
            <w:szCs w:val="22"/>
            <w:u w:val="single"/>
          </w:rPr>
          <w:t xml:space="preserve">https://www.cabi.org/isc/datasheet/28820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4891664ae5f09c7e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1712664ae5f09c8ce"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15535937" name="name2583664ae5f09c92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51664ae5f09c92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451305">
    <w:multiLevelType w:val="hybridMultilevel"/>
    <w:lvl w:ilvl="0" w:tplc="20389686">
      <w:start w:val="1"/>
      <w:numFmt w:val="decimal"/>
      <w:lvlText w:val="%1."/>
      <w:lvlJc w:val="left"/>
      <w:pPr>
        <w:ind w:left="720" w:hanging="360"/>
      </w:pPr>
    </w:lvl>
    <w:lvl w:ilvl="1" w:tplc="20389686" w:tentative="1">
      <w:start w:val="1"/>
      <w:numFmt w:val="lowerLetter"/>
      <w:lvlText w:val="%2."/>
      <w:lvlJc w:val="left"/>
      <w:pPr>
        <w:ind w:left="1440" w:hanging="360"/>
      </w:pPr>
    </w:lvl>
    <w:lvl w:ilvl="2" w:tplc="20389686" w:tentative="1">
      <w:start w:val="1"/>
      <w:numFmt w:val="lowerRoman"/>
      <w:lvlText w:val="%3."/>
      <w:lvlJc w:val="right"/>
      <w:pPr>
        <w:ind w:left="2160" w:hanging="180"/>
      </w:pPr>
    </w:lvl>
    <w:lvl w:ilvl="3" w:tplc="20389686" w:tentative="1">
      <w:start w:val="1"/>
      <w:numFmt w:val="decimal"/>
      <w:lvlText w:val="%4."/>
      <w:lvlJc w:val="left"/>
      <w:pPr>
        <w:ind w:left="2880" w:hanging="360"/>
      </w:pPr>
    </w:lvl>
    <w:lvl w:ilvl="4" w:tplc="20389686" w:tentative="1">
      <w:start w:val="1"/>
      <w:numFmt w:val="lowerLetter"/>
      <w:lvlText w:val="%5."/>
      <w:lvlJc w:val="left"/>
      <w:pPr>
        <w:ind w:left="3600" w:hanging="360"/>
      </w:pPr>
    </w:lvl>
    <w:lvl w:ilvl="5" w:tplc="20389686" w:tentative="1">
      <w:start w:val="1"/>
      <w:numFmt w:val="lowerRoman"/>
      <w:lvlText w:val="%6."/>
      <w:lvlJc w:val="right"/>
      <w:pPr>
        <w:ind w:left="4320" w:hanging="180"/>
      </w:pPr>
    </w:lvl>
    <w:lvl w:ilvl="6" w:tplc="20389686" w:tentative="1">
      <w:start w:val="1"/>
      <w:numFmt w:val="decimal"/>
      <w:lvlText w:val="%7."/>
      <w:lvlJc w:val="left"/>
      <w:pPr>
        <w:ind w:left="5040" w:hanging="360"/>
      </w:pPr>
    </w:lvl>
    <w:lvl w:ilvl="7" w:tplc="20389686" w:tentative="1">
      <w:start w:val="1"/>
      <w:numFmt w:val="lowerLetter"/>
      <w:lvlText w:val="%8."/>
      <w:lvlJc w:val="left"/>
      <w:pPr>
        <w:ind w:left="5760" w:hanging="360"/>
      </w:pPr>
    </w:lvl>
    <w:lvl w:ilvl="8" w:tplc="20389686" w:tentative="1">
      <w:start w:val="1"/>
      <w:numFmt w:val="lowerRoman"/>
      <w:lvlText w:val="%9."/>
      <w:lvlJc w:val="right"/>
      <w:pPr>
        <w:ind w:left="6480" w:hanging="180"/>
      </w:pPr>
    </w:lvl>
  </w:abstractNum>
  <w:abstractNum w:abstractNumId="74451304">
    <w:multiLevelType w:val="hybridMultilevel"/>
    <w:lvl w:ilvl="0" w:tplc="29886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451304">
    <w:abstractNumId w:val="74451304"/>
  </w:num>
  <w:num w:numId="74451305">
    <w:abstractNumId w:val="744513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7309627" Type="http://schemas.microsoft.com/office/2011/relationships/commentsExtended" Target="commentsExtended.xml"/><Relationship Id="rId357026349" Type="http://schemas.microsoft.com/office/2011/relationships/people" Target="people.xml"/><Relationship Id="rId8626664ae5f09990b" Type="http://schemas.openxmlformats.org/officeDocument/2006/relationships/hyperlink" Target="https://gd.eppo.int/taxon/IPSXCE/" TargetMode="External"/><Relationship Id="rId8817664ae5f099951" Type="http://schemas.openxmlformats.org/officeDocument/2006/relationships/hyperlink" Target="https://gd.eppo.int/taxon/IPSXCE/categorization" TargetMode="External"/><Relationship Id="rId5285664ae5f09a35e" Type="http://schemas.openxmlformats.org/officeDocument/2006/relationships/hyperlink" Target="https://gd.eppo.int/taxon/IPSXCE/photos" TargetMode="External"/><Relationship Id="rId1668664ae5f09c6b1" Type="http://schemas.openxmlformats.org/officeDocument/2006/relationships/hyperlink" Target="https://www.cabi.org/isc/datasheet/28820" TargetMode="External"/><Relationship Id="rId4891664ae5f09c7e2" Type="http://schemas.openxmlformats.org/officeDocument/2006/relationships/hyperlink" Target="https://gd.eppo.int" TargetMode="External"/><Relationship Id="rId1712664ae5f09c8ce" Type="http://schemas.openxmlformats.org/officeDocument/2006/relationships/hyperlink" Target="https://doi.org/10.1111/j.1365-2338.2005.00880.x" TargetMode="External"/><Relationship Id="rId5835664ae5f09a249" Type="http://schemas.openxmlformats.org/officeDocument/2006/relationships/image" Target="media/imgrId5835664ae5f09a249.jpg"/><Relationship Id="rId9195664ae5f09b62a" Type="http://schemas.openxmlformats.org/officeDocument/2006/relationships/image" Target="media/imgrId9195664ae5f09b62a.jpg"/><Relationship Id="rId4151664ae5f09c925" Type="http://schemas.openxmlformats.org/officeDocument/2006/relationships/image" Target="media/imgrId4151664ae5f09c92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