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Orthotospovirus impatiensnecromaculae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2022-09-19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Orthotospovirus impatiensnecromaculae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Negarnaviricota: Polyploviricotina: Ellioviricetes: Bunyavirales: Tospoviridae: Orthotospovirus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INSV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Impatiens necrotic spot orthotospovirus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Impatiens necrotic spot tospovirus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Impatiens necrotic spot virus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necrotic spot of impatiens</w:t>
            </w:r>
            <w:hyperlink r:id="rId2867664b39f4be484"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4476664b39f4be4f0"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INSV00</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9037611" name="name4846664b39f4bee64" descr="12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87.jpg"/>
                          <pic:cNvPicPr/>
                        </pic:nvPicPr>
                        <pic:blipFill>
                          <a:blip r:embed="rId7931664b39f4bee61" cstate="print"/>
                          <a:stretch>
                            <a:fillRect/>
                          </a:stretch>
                        </pic:blipFill>
                        <pic:spPr>
                          <a:xfrm>
                            <a:off x="0" y="0"/>
                            <a:ext cx="2160000" cy="1281600"/>
                          </a:xfrm>
                          <a:prstGeom prst="rect">
                            <a:avLst/>
                          </a:prstGeom>
                          <a:ln w="0">
                            <a:noFill/>
                          </a:ln>
                        </pic:spPr>
                      </pic:pic>
                    </a:graphicData>
                  </a:graphic>
                </wp:inline>
              </w:drawing>
            </w:r>
            <w:hyperlink r:id="rId8488664b39f4befdf"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virus strains previously constituting serogroup III of tomato spotted wilt tospovirus (TSWV) were subsequently distinguished as the separate species INSV (de Avila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Vaira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In 1995, INSV was assigned to the genus </w:t>
      </w:r>
      <w:r>
        <w:rPr>
          <w:rFonts w:ascii="Calibri" w:hAnsi="Calibri" w:eastAsia="Calibri" w:cs="Calibri"/>
          <w:i/>
          <w:iCs/>
          <w:color w:val="000000"/>
          <w:sz w:val="22"/>
          <w:szCs w:val="22"/>
        </w:rPr>
        <w:t xml:space="preserve">Tospovirus, </w:t>
      </w:r>
      <w:r>
        <w:rPr>
          <w:rFonts w:ascii="Calibri" w:hAnsi="Calibri" w:eastAsia="Calibri" w:cs="Calibri"/>
          <w:color w:val="000000"/>
          <w:sz w:val="22"/>
          <w:szCs w:val="22"/>
        </w:rPr>
        <w:t xml:space="preserve">which was later renamed </w:t>
      </w:r>
      <w:r>
        <w:rPr>
          <w:rFonts w:ascii="Calibri" w:hAnsi="Calibri" w:eastAsia="Calibri" w:cs="Calibri"/>
          <w:i/>
          <w:iCs/>
          <w:color w:val="000000"/>
          <w:sz w:val="22"/>
          <w:szCs w:val="22"/>
        </w:rPr>
        <w:t xml:space="preserve">Orthotospovirus</w:t>
      </w:r>
      <w:r>
        <w:rPr>
          <w:rFonts w:ascii="Calibri" w:hAnsi="Calibri" w:eastAsia="Calibri" w:cs="Calibri"/>
          <w:color w:val="000000"/>
          <w:sz w:val="22"/>
          <w:szCs w:val="22"/>
        </w:rPr>
        <w:t xml:space="preserve"> (family </w:t>
      </w:r>
      <w:r>
        <w:rPr>
          <w:rFonts w:ascii="Calibri" w:hAnsi="Calibri" w:eastAsia="Calibri" w:cs="Calibri"/>
          <w:i/>
          <w:iCs/>
          <w:color w:val="000000"/>
          <w:sz w:val="22"/>
          <w:szCs w:val="22"/>
        </w:rPr>
        <w:t xml:space="preserve">Tospoviridae</w:t>
      </w:r>
      <w:r>
        <w:rPr>
          <w:rFonts w:ascii="Calibri" w:hAnsi="Calibri" w:eastAsia="Calibri" w:cs="Calibri"/>
          <w:color w:val="000000"/>
          <w:sz w:val="22"/>
          <w:szCs w:val="22"/>
        </w:rPr>
        <w:t xml:space="preserve">, order Bunyavirales; </w:t>
      </w:r>
      <w:hyperlink r:id="rId5418664b39f4bf161" w:history="1">
        <w:r>
          <w:rPr>
            <w:rFonts w:ascii="Calibri" w:hAnsi="Calibri" w:eastAsia="Calibri" w:cs="Calibri"/>
            <w:b/>
            <w:bCs/>
            <w:color w:val="0000CC"/>
            <w:sz w:val="22"/>
            <w:szCs w:val="22"/>
            <w:u w:val="single"/>
          </w:rPr>
          <w:t xml:space="preserve">ICTV online</w:t>
        </w:r>
      </w:hyperlink>
      <w:r>
        <w:rPr>
          <w:rFonts w:ascii="Calibri" w:hAnsi="Calibri" w:eastAsia="Calibri" w:cs="Calibri"/>
          <w:color w:val="000000"/>
          <w:sz w:val="22"/>
          <w:szCs w:val="22"/>
        </w:rPr>
        <w:t xml:space="preserve">; Abudurexiti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Species demarcation within the genus is based on nucleoprotein (N) sequence (new species are defined as having less than 90% amino acid sequence similarity to all other described species within the genus); in addition, species are often biologically distinguished by their host range and vector specificity (Plyusnin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Kormelink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INSV has been reported to infect more than 300 plant species belonging to 85 different dicotyledonous and monocotyledonous families (Lebas &amp; Ochoa-Corona, 2007).The main hosts of INSV are ornamentals such as </w:t>
      </w:r>
      <w:r>
        <w:rPr>
          <w:rFonts w:ascii="Calibri" w:hAnsi="Calibri" w:eastAsia="Calibri" w:cs="Calibri"/>
          <w:i/>
          <w:iCs/>
          <w:color w:val="000000"/>
          <w:sz w:val="22"/>
          <w:szCs w:val="22"/>
        </w:rPr>
        <w:t xml:space="preserve">Aconitum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Alstroemeria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Anemone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Antirrhinum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Begonia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Bouvardia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Calceolaria,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Callistephus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(Dendranthema </w:t>
      </w:r>
      <w:r>
        <w:rPr>
          <w:rFonts w:ascii="Calibri" w:hAnsi="Calibri" w:eastAsia="Calibri" w:cs="Calibri"/>
          <w:color w:val="000000"/>
          <w:sz w:val="22"/>
          <w:szCs w:val="22"/>
        </w:rPr>
        <w:t xml:space="preserve">x</w:t>
      </w:r>
      <w:r>
        <w:rPr>
          <w:rFonts w:ascii="Calibri" w:hAnsi="Calibri" w:eastAsia="Calibri" w:cs="Calibri"/>
          <w:i/>
          <w:iCs/>
          <w:color w:val="000000"/>
          <w:sz w:val="22"/>
          <w:szCs w:val="22"/>
        </w:rPr>
        <w:t xml:space="preserve"> grandiflorum), Cineraria, Columnea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Cyclamen persicum</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Dahlia, Dianthus, Dracaena, Eustoma russellianum </w:t>
      </w:r>
      <w:r>
        <w:rPr>
          <w:rFonts w:ascii="Calibri" w:hAnsi="Calibri" w:eastAsia="Calibri" w:cs="Calibri"/>
          <w:color w:val="000000"/>
          <w:sz w:val="22"/>
          <w:szCs w:val="22"/>
        </w:rPr>
        <w:t xml:space="preserve">(synonym</w:t>
      </w:r>
      <w:r>
        <w:rPr>
          <w:rFonts w:ascii="Calibri" w:hAnsi="Calibri" w:eastAsia="Calibri" w:cs="Calibri"/>
          <w:i/>
          <w:iCs/>
          <w:color w:val="000000"/>
          <w:sz w:val="22"/>
          <w:szCs w:val="22"/>
        </w:rPr>
        <w:t xml:space="preserve"> Eustoma grandiflorum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Exacum affine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Freesia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Gardenia, Gentiana, Gerbera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Gladiolus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Impatiens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Iris, Kalanchoe, Limonium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Lobelia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Pericallis cruenta</w:t>
      </w:r>
      <w:r>
        <w:rPr>
          <w:rFonts w:ascii="Calibri" w:hAnsi="Calibri" w:eastAsia="Calibri" w:cs="Calibri"/>
          <w:color w:val="000000"/>
          <w:sz w:val="22"/>
          <w:szCs w:val="22"/>
        </w:rPr>
        <w:t xml:space="preserve"> (synonym </w:t>
      </w:r>
      <w:r>
        <w:rPr>
          <w:rFonts w:ascii="Calibri" w:hAnsi="Calibri" w:eastAsia="Calibri" w:cs="Calibri"/>
          <w:i/>
          <w:iCs/>
          <w:color w:val="000000"/>
          <w:sz w:val="22"/>
          <w:szCs w:val="22"/>
        </w:rPr>
        <w:t xml:space="preserve">Senecio cruentus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Petunia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Phalaenopsis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Pittosporum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Ranunculus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Sinningia speciosa </w:t>
      </w:r>
      <w:r>
        <w:rPr>
          <w:rFonts w:ascii="Calibri" w:hAnsi="Calibri" w:eastAsia="Calibri" w:cs="Calibri"/>
          <w:color w:val="000000"/>
          <w:sz w:val="22"/>
          <w:szCs w:val="22"/>
        </w:rPr>
        <w:t xml:space="preserve">(synonym </w:t>
      </w:r>
      <w:r>
        <w:rPr>
          <w:rFonts w:ascii="Calibri" w:hAnsi="Calibri" w:eastAsia="Calibri" w:cs="Calibri"/>
          <w:i/>
          <w:iCs/>
          <w:color w:val="000000"/>
          <w:sz w:val="22"/>
          <w:szCs w:val="22"/>
        </w:rPr>
        <w:t xml:space="preserve">Gloxinia speciosa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Spathiphyllum, Tulipa, Verbena, Zantedeschia aethiopica, Zinnia</w:t>
      </w:r>
      <w:r>
        <w:rPr>
          <w:rFonts w:ascii="Calibri" w:hAnsi="Calibri" w:eastAsia="Calibri" w:cs="Calibri"/>
          <w:color w:val="000000"/>
          <w:sz w:val="22"/>
          <w:szCs w:val="22"/>
        </w:rPr>
        <w:t xml:space="preserve">. INSV is the first virus to be recorded from a fern (the glasshouse ornamental </w:t>
      </w:r>
      <w:r>
        <w:rPr>
          <w:rFonts w:ascii="Calibri" w:hAnsi="Calibri" w:eastAsia="Calibri" w:cs="Calibri"/>
          <w:i/>
          <w:iCs/>
          <w:color w:val="000000"/>
          <w:sz w:val="22"/>
          <w:szCs w:val="22"/>
        </w:rPr>
        <w:t xml:space="preserve">Asplenium nidus-avis</w:t>
      </w:r>
      <w:r>
        <w:rPr>
          <w:rFonts w:ascii="Calibri" w:hAnsi="Calibri" w:eastAsia="Calibri" w:cs="Calibri"/>
          <w:color w:val="000000"/>
          <w:sz w:val="22"/>
          <w:szCs w:val="22"/>
        </w:rPr>
        <w:t xml:space="preserve">). Vegetable hosts include </w:t>
      </w:r>
      <w:r>
        <w:rPr>
          <w:rFonts w:ascii="Calibri" w:hAnsi="Calibri" w:eastAsia="Calibri" w:cs="Calibri"/>
          <w:i/>
          <w:iCs/>
          <w:color w:val="000000"/>
          <w:sz w:val="22"/>
          <w:szCs w:val="22"/>
        </w:rPr>
        <w:t xml:space="preserve">Allium cepa, A. porrum, A.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Ocimum basilicum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Solanum lycopersicum. </w:t>
      </w:r>
      <w:r>
        <w:rPr>
          <w:rFonts w:ascii="Calibri" w:hAnsi="Calibri" w:eastAsia="Calibri" w:cs="Calibri"/>
          <w:color w:val="000000"/>
          <w:sz w:val="22"/>
          <w:szCs w:val="22"/>
        </w:rPr>
        <w:t xml:space="preserve">It has also been shown to infect potatoes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and tobacco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Weed species such as </w:t>
      </w:r>
      <w:r>
        <w:rPr>
          <w:rFonts w:ascii="Calibri" w:hAnsi="Calibri" w:eastAsia="Calibri" w:cs="Calibri"/>
          <w:i/>
          <w:iCs/>
          <w:color w:val="000000"/>
          <w:sz w:val="22"/>
          <w:szCs w:val="22"/>
        </w:rPr>
        <w:t xml:space="preserve">Cardamine scutata, Stellaria media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Cerastium glomeratum</w:t>
      </w:r>
      <w:r>
        <w:rPr>
          <w:rFonts w:ascii="Calibri" w:hAnsi="Calibri" w:eastAsia="Calibri" w:cs="Calibri"/>
          <w:color w:val="000000"/>
          <w:sz w:val="22"/>
          <w:szCs w:val="22"/>
        </w:rPr>
        <w:t xml:space="preserve"> can be important reservoirs for INSV (Okuda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Abelia x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Acanthospermum hispidum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Aconitum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Adenium obesum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Aeschynanthus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Ageratum houstonianum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Agrostemma githago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cepa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cernuum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cristophii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lusitanicum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moly</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oleraceum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oreophilum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porrum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rotundum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scorodoprasum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sphaerocephalon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zebdanense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Alstroemeria aurea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Alstroemeria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Althaea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Amaryllis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Anemone coronaria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Anemone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Anthemis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Anthriscus cerefolium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Anthurium andraeanum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Anthurium scherzerianum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Anthurium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Antirrhinum majus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Antirrhinum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Aphelandra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Arabidopsis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Ardisia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Asparagus densiflorus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Asplenium nidus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Begonia cucullata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Begonia leathermaniae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Begonia peltata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Begonia semperflorens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Begonia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Begonia tuberhybrida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Begonia x hiemalis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Bougainvillea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Bougainvillea spectabilis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Bouvardia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Browallia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Browallia speciosa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Calceolaria herbeohybrida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Calceolaria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Calendula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Callistephus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Calycanthus floridus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Canna x generalis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Cardamine hirsuta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Cardamine scutata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Cerastium glomeratum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x morifolium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Cichorium intybus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Cineraria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Cissus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Clarkia amoena subsp. lindleyi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Clivia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Codiaeum variegatum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Coleus scutellarioides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Columnea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Cordyline fruticosa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Curcuma 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Curcuma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Cycas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Cyclamen 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Cyclamen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esculentus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rotundus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Cyrtomium falcatum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innoxia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Delphinium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Dendrobium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Desmodium tortuosum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caryophyllus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Diascia rigescens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Diascia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Dieffenbachia seguine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Digitalis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Dischidia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Dracaena fragrans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Dracaena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Echeveria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Epipremnum pinnatum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Episcia cupreata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Erica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Eruca vesicaria subsp.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Erysimum x cheiri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Eupatorium capillifolium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seguieriana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Eustoma russellianum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Eustoma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Exacum affine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Fatsia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Ficaria verna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benjamina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elastica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Franklinia alatamaha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Freesia refracta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Freesia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Gardenia jasminoides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Gazania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Gentiana macrophylla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Gentiana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Geranium carolinianum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Geranium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Gerbera jamesonii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Gerbera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Gladiolus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Gladiolus x gandavensis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Gnaphalium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Gomphrena globosa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Halesia carolina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Hedera helix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Helichrysum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Heptapleurum actinophyllum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rosa-sinensis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Hippeastrum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Hippeastrum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Hosta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Hoya carnosa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Hoya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Hoya wayetii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Hydrangea quercifolia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Hydrangea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Hymenocallis littoralis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Impatiens New Guinea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Impatiens hawkeri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Impatiens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Impatiens walleriana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tricolor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Iris pumila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Iris x hollandica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Isotoma axillaris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Jacquemontia tamnifolia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Kalanchoe blossfeldiana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Kalanchoe farinacea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Kalanchoe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Kalanchoe thyrsiflora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Kohleria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Lavandula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Leucanthemum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Limonium sinuatum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Limonium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Lobelia erinus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Lobelia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Lysimachia congestiflora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Maranta leuconeura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Matricaria chamomilla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Mollugo verticillata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Monarda didyma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Nemesia strumosa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Nepenthes x coccinea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benthamiana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Ocimum basilicum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Oncidium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Opuntia microdasys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Osteospermum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Oxydendrum arboreum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 peltatum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 radens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 x hortorum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Penstemon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Peperomia obtusifolia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Peperomia rotundifolia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Pericallis cruenta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Pericallis x hybrida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Petunia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Petunia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Phalaenopsis amabilis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Phalaenopsis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Philodendron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Phlox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Photinia x fraseri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ixocarpa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Pilea cadierei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Pittosporum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Plantago asiatica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Platycodon grandiflorus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obconica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Ranunculus asiaticus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Ranunculus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raphanistrum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Rhaphiolepis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Richardia scabra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Ruscus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Salvia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Salvia splendens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Saxifraga stolonifera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Schefflera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Schizanthus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Schizanthus x wisetonensis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Scindapsus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Sinningia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Sinningia speciosa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brevicaule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mochiquense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muricatum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oleraceus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Spathiphyllum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Spinacia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Stachys floridana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Stellaria media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Stephanotis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Streptocarpus ionanthus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Streptocarpus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Syngonium podophyllum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Torenia fournieri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Trachelium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Tradescantia albiflora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Tripleurospermum maritimum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Tulbaghia violacea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Tulipa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Verbena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Verbena rigida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Verbena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Viola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Wahlenbergia 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Zantedeschia aethiopica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Zantedeschia albomaculata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Zantedeschia odorata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Zantedeschia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Zingiber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Zinnia elegans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Zinnia sp.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INSV was first isolated from </w:t>
      </w:r>
      <w:r>
        <w:rPr>
          <w:rFonts w:ascii="Calibri" w:hAnsi="Calibri" w:eastAsia="Calibri" w:cs="Calibri"/>
          <w:i/>
          <w:iCs/>
          <w:color w:val="000000"/>
          <w:sz w:val="22"/>
          <w:szCs w:val="22"/>
        </w:rPr>
        <w:t xml:space="preserve">Impatiens</w:t>
      </w:r>
      <w:r>
        <w:rPr>
          <w:rFonts w:ascii="Calibri" w:hAnsi="Calibri" w:eastAsia="Calibri" w:cs="Calibri"/>
          <w:color w:val="000000"/>
          <w:sz w:val="22"/>
          <w:szCs w:val="22"/>
        </w:rPr>
        <w:t xml:space="preserve"> sp. in North America in 1989 (described as TSWV-Impatiens strain; Law &amp; Moyer, 1990; Law et al., 1991). Since then, INSV has been detected in many countries worldwide, including several countries in the EPPO region.</w:t>
      </w:r>
    </w:p>
    <w:p>
      <w:r>
        <w:drawing>
          <wp:inline distT="0" distB="0" distL="0" distR="0">
            <wp:extent cx="6120000" cy="3067200"/>
            <wp:docPr id="33965845" name="name2652664b39f4c2715" descr="INSV0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V00_distribution_map.jpg"/>
                    <pic:cNvPicPr/>
                  </pic:nvPicPr>
                  <pic:blipFill>
                    <a:blip r:embed="rId4894664b39f4c2711"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Belgium, Bosnia and Herzegovina, Bulgaria, Czech Republic, Finland, France (mainland), Germany, Greece (mainland), Guernsey, Hungary, Italy (mainland, Sicilia), Lithuania, Netherlands, North Macedonia, Poland, Portugal (mainland), Serbia, Slovenia, Spain (mainland), Sweden, United Kingdom (England)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Egypt, Uganda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(Yunnan), Iran, Japan (Honshu), Korea, Republic</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Ontario, Québec), Mexico, United States of America (Alabama, Arizona, Arkansas, California, Colorado, Connecticut, Delaware, Florida, Georgia, Idaho, Iowa, Kansas, Kentucky, Maine, Maryland, Massachusetts, Minnesota, Mississippi, Missouri, New Hampshire, New Jersey, New York, North Carolina, North Dakota, Ohio, Oklahoma, Oregon, Pennsylvania, South Carolina, Texas, Vermont, Virginia, Washington)</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Costa Rica, Guatemala, Panama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Chile, Colombia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INSV exhibits some genetic diversity, but epidemiological studies indicated no evidence of host specificity among INSV isolates and demonstrated that isolates introduced via different routes can be circulating within the same areas (Kuo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Nekoduka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Adegbola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p>
    <w:p>
      <w:pPr>
        <w:widowControl w:val="on"/>
        <w:pBdr/>
        <w:spacing w:before="220" w:after="220" w:line="240" w:lineRule="auto"/>
        <w:ind w:left="0" w:right="0"/>
        <w:jc w:val="both"/>
      </w:pPr>
      <w:r>
        <w:rPr>
          <w:rFonts w:ascii="Calibri" w:hAnsi="Calibri" w:eastAsia="Calibri" w:cs="Calibri"/>
          <w:color w:val="000000"/>
          <w:sz w:val="22"/>
          <w:szCs w:val="22"/>
        </w:rPr>
        <w:t xml:space="preserve">Orthotospovirus particles are transmitted and spread in natural conditions by thrips - insects of the genera </w:t>
      </w:r>
      <w:r>
        <w:rPr>
          <w:rFonts w:ascii="Calibri" w:hAnsi="Calibri" w:eastAsia="Calibri" w:cs="Calibri"/>
          <w:i/>
          <w:iCs/>
          <w:color w:val="000000"/>
          <w:sz w:val="22"/>
          <w:szCs w:val="22"/>
        </w:rPr>
        <w:t xml:space="preserve">Frankliniella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Thrips</w:t>
      </w:r>
      <w:r>
        <w:rPr>
          <w:rFonts w:ascii="Calibri" w:hAnsi="Calibri" w:eastAsia="Calibri" w:cs="Calibri"/>
          <w:color w:val="000000"/>
          <w:sz w:val="22"/>
          <w:szCs w:val="22"/>
        </w:rPr>
        <w:t xml:space="preserve"> (family Thripidae). Thrips species known to transmit INSV are </w:t>
      </w:r>
      <w:r>
        <w:rPr>
          <w:rFonts w:ascii="Calibri" w:hAnsi="Calibri" w:eastAsia="Calibri" w:cs="Calibri"/>
          <w:i/>
          <w:iCs/>
          <w:color w:val="000000"/>
          <w:sz w:val="22"/>
          <w:szCs w:val="22"/>
        </w:rPr>
        <w:t xml:space="preserve">Frankliniella fusca, F. occidentalis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F. intonsa</w:t>
      </w:r>
      <w:r>
        <w:rPr>
          <w:rFonts w:ascii="Calibri" w:hAnsi="Calibri" w:eastAsia="Calibri" w:cs="Calibri"/>
          <w:color w:val="000000"/>
          <w:sz w:val="22"/>
          <w:szCs w:val="22"/>
        </w:rPr>
        <w:t xml:space="preserve"> (Naidu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Sakurai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Jones, 2005; Rotenberg &amp; Whitfield, 2018). In the EPPO region, </w:t>
      </w:r>
      <w:r>
        <w:rPr>
          <w:rFonts w:ascii="Calibri" w:hAnsi="Calibri" w:eastAsia="Calibri" w:cs="Calibri"/>
          <w:i/>
          <w:iCs/>
          <w:color w:val="000000"/>
          <w:sz w:val="22"/>
          <w:szCs w:val="22"/>
        </w:rPr>
        <w:t xml:space="preserve">F. occidentalis and F. intonsa </w:t>
      </w:r>
      <w:r>
        <w:rPr>
          <w:rFonts w:ascii="Calibri" w:hAnsi="Calibri" w:eastAsia="Calibri" w:cs="Calibri"/>
          <w:color w:val="000000"/>
          <w:sz w:val="22"/>
          <w:szCs w:val="22"/>
        </w:rPr>
        <w:t xml:space="preserve">are widely distributed (EFSA, 2012b). Both thrips species are very polyphagous. Orthotospoviruses are transmitted by thrips in a persistent manner. Only individuals which have acquired the virus at the larval stages can transmit it. Virus transmission occurs after a latent period of circulation and multiplication of the virus in the thrips vector. Once acquired, the virus is transmitted transstadially and thrips remain infectious for life, however there is no evidence of transovarial transmission (Wijkamp &amp; Peters, 1993; Jones, 2005; Rotenberg &amp; Whitfield, 2018).</w:t>
      </w:r>
    </w:p>
    <w:p>
      <w:pPr>
        <w:widowControl w:val="on"/>
        <w:pBdr/>
        <w:spacing w:before="220" w:after="220" w:line="240" w:lineRule="auto"/>
        <w:ind w:left="0" w:right="0"/>
        <w:jc w:val="both"/>
      </w:pPr>
      <w:r>
        <w:rPr>
          <w:rFonts w:ascii="Calibri" w:hAnsi="Calibri" w:eastAsia="Calibri" w:cs="Calibri"/>
          <w:color w:val="000000"/>
          <w:sz w:val="22"/>
          <w:szCs w:val="22"/>
        </w:rPr>
        <w:t xml:space="preserve">Orthotospoviruses are also transmitted mechanically by wounding, a process that is only of experimental significance (EFSA, 2012b). Like all viruses, orthotospoviruses are disseminated with infected plant tissues used for vegetative propagation hence all plants infected with orthotospoviruses contribute to virus spread when cuttings are used for vegetative propagation (EFSA, 2012b). Although orthotospoviruses are considered not to be seed-transmitted (Pappu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an as yet unconfirmed first report of seed transmission of an orthotospovirus (soybean vein necrosis virus) has been published by Groves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INSV can cause a variety of symptoms that may vary in the same host species depending on the variety and age as well as the nutritional and environmental conditions of the plant. Symptoms of INSV infection also vary depending on the developmental stage of the plant at the time of inoculation and on the virus isolate. INSV symptoms include necrosis, chlorosis, ring patterns, mottling, stunting, local lesions, and death of the plant. Several other orthotospoviruses, as well as even more genetically distinct viruses, can cause symptoms similar to those seen in INSV infection. However, it should be noted that infection of host plants by INSV may be asymptomatic in some host plants, or the symptoms may be mild due to environmental conditions, or the infection may be too recent to reach full symptom expression (Daughtrey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Roggero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Lebas &amp; Ochoa-Corona, 2007; Okuda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EFSA, 2012b; Nekoduka &amp; Sano, 2018).</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Symptomatology of some ornamentals:</w:t>
      </w:r>
    </w:p>
    <w:p>
      <w:pPr>
        <w:widowControl w:val="on"/>
        <w:pBdr/>
        <w:spacing w:before="220" w:after="220" w:line="240" w:lineRule="auto"/>
        <w:ind w:left="300" w:right="0"/>
        <w:jc w:val="both"/>
      </w:pPr>
      <w:r>
        <w:rPr>
          <w:rFonts w:ascii="Calibri" w:hAnsi="Calibri" w:eastAsia="Calibri" w:cs="Calibri"/>
          <w:i/>
          <w:iCs/>
          <w:color w:val="000000"/>
          <w:sz w:val="22"/>
          <w:szCs w:val="22"/>
        </w:rPr>
        <w:t xml:space="preserve">- Begonia x hiemalis</w:t>
      </w:r>
      <w:r>
        <w:rPr>
          <w:rFonts w:ascii="Calibri" w:hAnsi="Calibri" w:eastAsia="Calibri" w:cs="Calibri"/>
          <w:color w:val="000000"/>
          <w:sz w:val="22"/>
          <w:szCs w:val="22"/>
        </w:rPr>
        <w:t xml:space="preserve">: yellow mottling of leaf, large brown circular necrotic spots, browning of the veins at the petiole end of the leaf; petiole may turn brown or necrotic (Lebas &amp; Ochoa-Corona, 2007)</w:t>
      </w:r>
      <w:r>
        <w:rPr>
          <w:rFonts w:ascii="Calibri" w:hAnsi="Calibri" w:eastAsia="Calibri" w:cs="Calibri"/>
          <w:i/>
          <w:iCs/>
          <w:color w:val="000000"/>
          <w:sz w:val="22"/>
          <w:szCs w:val="22"/>
        </w:rPr>
        <w:br/>
        <w:t xml:space="preserve">- Begonia tuberhybrida </w:t>
      </w:r>
      <w:r>
        <w:rPr>
          <w:rFonts w:ascii="Calibri" w:hAnsi="Calibri" w:eastAsia="Calibri" w:cs="Calibri"/>
          <w:color w:val="000000"/>
          <w:sz w:val="22"/>
          <w:szCs w:val="22"/>
        </w:rPr>
        <w:t xml:space="preserve">hybrids: foliar chlorotic rings and zonal spots accompanied by leaf necrosis and distortion of (Trkulja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r>
        <w:rPr>
          <w:rFonts w:ascii="Calibri" w:hAnsi="Calibri" w:eastAsia="Calibri" w:cs="Calibri"/>
          <w:i/>
          <w:iCs/>
          <w:color w:val="000000"/>
          <w:sz w:val="22"/>
          <w:szCs w:val="22"/>
        </w:rPr>
        <w:br/>
        <w:t xml:space="preserve">- Chrysanthemum</w:t>
      </w:r>
      <w:r>
        <w:rPr>
          <w:rFonts w:ascii="Calibri" w:hAnsi="Calibri" w:eastAsia="Calibri" w:cs="Calibri"/>
          <w:color w:val="000000"/>
          <w:sz w:val="22"/>
          <w:szCs w:val="22"/>
        </w:rPr>
        <w:t xml:space="preserve">: chlorotic mottle and necrosis on the leaves (Kondo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r>
        <w:rPr>
          <w:rFonts w:ascii="Calibri" w:hAnsi="Calibri" w:eastAsia="Calibri" w:cs="Calibri"/>
          <w:i/>
          <w:iCs/>
          <w:color w:val="000000"/>
          <w:sz w:val="22"/>
          <w:szCs w:val="22"/>
        </w:rPr>
        <w:br/>
        <w:t xml:space="preserve">- Eustoma russellianum</w:t>
      </w:r>
      <w:r>
        <w:rPr>
          <w:rFonts w:ascii="Calibri" w:hAnsi="Calibri" w:eastAsia="Calibri" w:cs="Calibri"/>
          <w:color w:val="000000"/>
          <w:sz w:val="22"/>
          <w:szCs w:val="22"/>
        </w:rPr>
        <w:t xml:space="preserve">: necrotic ringspots, leaf distortion, systemic necrosis, wilting, stunting, and death of the plant (Lebas &amp; Ochoa-Corona, 2008)</w:t>
      </w:r>
      <w:r>
        <w:rPr>
          <w:rFonts w:ascii="Calibri" w:hAnsi="Calibri" w:eastAsia="Calibri" w:cs="Calibri"/>
          <w:i/>
          <w:iCs/>
          <w:color w:val="000000"/>
          <w:sz w:val="22"/>
          <w:szCs w:val="22"/>
        </w:rPr>
        <w:br/>
        <w:t xml:space="preserve">- Impatiens New Guinea hybrids: </w:t>
      </w:r>
      <w:r>
        <w:rPr>
          <w:rFonts w:ascii="Calibri" w:hAnsi="Calibri" w:eastAsia="Calibri" w:cs="Calibri"/>
          <w:color w:val="000000"/>
          <w:sz w:val="22"/>
          <w:szCs w:val="22"/>
        </w:rPr>
        <w:t xml:space="preserve">brown or purple leaf spots, ringspots on petals, black diffuse spotting on leaves, black stem sections, leaf distortion, chlorotic mottling, and stunting (Lebas &amp; Ochoa-Corona, 2008)</w:t>
      </w:r>
      <w:r>
        <w:rPr>
          <w:rFonts w:ascii="Calibri" w:hAnsi="Calibri" w:eastAsia="Calibri" w:cs="Calibri"/>
          <w:i/>
          <w:iCs/>
          <w:color w:val="000000"/>
          <w:sz w:val="22"/>
          <w:szCs w:val="22"/>
        </w:rPr>
        <w:br/>
        <w:t xml:space="preserve">- Phalaenopsis </w:t>
      </w:r>
      <w:r>
        <w:rPr>
          <w:rFonts w:ascii="Calibri" w:hAnsi="Calibri" w:eastAsia="Calibri" w:cs="Calibri"/>
          <w:color w:val="000000"/>
          <w:sz w:val="22"/>
          <w:szCs w:val="22"/>
        </w:rPr>
        <w:t xml:space="preserve">orchids: chlorotic and necrotic ringspots (Baker et al., 2007; Cheng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r>
        <w:rPr>
          <w:rFonts w:ascii="Calibri" w:hAnsi="Calibri" w:eastAsia="Calibri" w:cs="Calibri"/>
          <w:i/>
          <w:iCs/>
          <w:color w:val="000000"/>
          <w:sz w:val="22"/>
          <w:szCs w:val="22"/>
        </w:rPr>
        <w:br/>
        <w:t xml:space="preserve">- Primula</w:t>
      </w:r>
      <w:r>
        <w:rPr>
          <w:rFonts w:ascii="Calibri" w:hAnsi="Calibri" w:eastAsia="Calibri" w:cs="Calibri"/>
          <w:color w:val="000000"/>
          <w:sz w:val="22"/>
          <w:szCs w:val="22"/>
        </w:rPr>
        <w:t xml:space="preserve"> spp.: necrotic veins, irregular necrotic lesions, mottling, and stunting (Lebas &amp; Ochoa-Corona, 2008)</w:t>
      </w:r>
      <w:r>
        <w:rPr>
          <w:rFonts w:ascii="Calibri" w:hAnsi="Calibri" w:eastAsia="Calibri" w:cs="Calibri"/>
          <w:i/>
          <w:iCs/>
          <w:color w:val="000000"/>
          <w:sz w:val="22"/>
          <w:szCs w:val="22"/>
        </w:rPr>
        <w:br/>
        <w:t xml:space="preserve">- Sinningia speciosa </w:t>
      </w:r>
      <w:r>
        <w:rPr>
          <w:rFonts w:ascii="Calibri" w:hAnsi="Calibri" w:eastAsia="Calibri" w:cs="Calibri"/>
          <w:color w:val="000000"/>
          <w:sz w:val="22"/>
          <w:szCs w:val="22"/>
        </w:rPr>
        <w:t xml:space="preserve">(synonym </w:t>
      </w:r>
      <w:r>
        <w:rPr>
          <w:rFonts w:ascii="Calibri" w:hAnsi="Calibri" w:eastAsia="Calibri" w:cs="Calibri"/>
          <w:i/>
          <w:iCs/>
          <w:color w:val="000000"/>
          <w:sz w:val="22"/>
          <w:szCs w:val="22"/>
        </w:rPr>
        <w:t xml:space="preserve">Gloxinia speciosa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chlorosis, necrosis streaking, brown spots, ringspots, wilting, and death of the plant (Lebas &amp; Ochoa-Corona, 2008)</w:t>
      </w:r>
      <w:r>
        <w:rPr>
          <w:rFonts w:ascii="Calibri" w:hAnsi="Calibri" w:eastAsia="Calibri" w:cs="Calibri"/>
          <w:i/>
          <w:iCs/>
          <w:color w:val="000000"/>
          <w:sz w:val="22"/>
          <w:szCs w:val="22"/>
        </w:rPr>
        <w:br/>
        <w:t xml:space="preserve">- Spathiphyllum: </w:t>
      </w:r>
      <w:r>
        <w:rPr>
          <w:rFonts w:ascii="Calibri" w:hAnsi="Calibri" w:eastAsia="Calibri" w:cs="Calibri"/>
          <w:color w:val="000000"/>
          <w:sz w:val="22"/>
          <w:szCs w:val="22"/>
        </w:rPr>
        <w:t xml:space="preserve">concentric chlorotic ringspots, line patterns, and irregular chlorotic blotches on leaves, which developed into localized necrosis (Materazzi &amp; Triolo, 2001)  </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Symptomatology of some vegetables, aromatic herbs and other crops:</w:t>
      </w:r>
    </w:p>
    <w:p>
      <w:pPr>
        <w:widowControl w:val="on"/>
        <w:pBdr/>
        <w:spacing w:before="220" w:after="220" w:line="240" w:lineRule="auto"/>
        <w:ind w:left="300" w:right="0"/>
        <w:jc w:val="both"/>
      </w:pPr>
      <w:r>
        <w:rPr>
          <w:rFonts w:ascii="Calibri" w:hAnsi="Calibri" w:eastAsia="Calibri" w:cs="Calibri"/>
          <w:i/>
          <w:iCs/>
          <w:color w:val="000000"/>
          <w:sz w:val="22"/>
          <w:szCs w:val="22"/>
        </w:rPr>
        <w:t xml:space="preserve">- Capsicum annum</w:t>
      </w:r>
      <w:r>
        <w:rPr>
          <w:rFonts w:ascii="Calibri" w:hAnsi="Calibri" w:eastAsia="Calibri" w:cs="Calibri"/>
          <w:color w:val="000000"/>
          <w:sz w:val="22"/>
          <w:szCs w:val="22"/>
        </w:rPr>
        <w:t xml:space="preserve"> (pepper): dark necrotic spots on some leaves and on the stems (Gonzalez-Pacheco &amp; Silva-Rosales, 2013), dwarfing, leaf chlorotic ringspots, and distorted apical buds (Chen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r>
        <w:rPr>
          <w:rFonts w:ascii="Calibri" w:hAnsi="Calibri" w:eastAsia="Calibri" w:cs="Calibri"/>
          <w:i/>
          <w:iCs/>
          <w:color w:val="000000"/>
          <w:sz w:val="22"/>
          <w:szCs w:val="22"/>
        </w:rPr>
        <w:br/>
        <w:t xml:space="preserve">- Lactuca sativa </w:t>
      </w:r>
      <w:r>
        <w:rPr>
          <w:rFonts w:ascii="Calibri" w:hAnsi="Calibri" w:eastAsia="Calibri" w:cs="Calibri"/>
          <w:color w:val="000000"/>
          <w:sz w:val="22"/>
          <w:szCs w:val="22"/>
        </w:rPr>
        <w:t xml:space="preserve">(lettuce): leaf chlorosis, brown ringspots, necrotic lesions, vein necrosis, leaf distortion and/or plant stunting (Koike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Beris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Hasegawa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r>
        <w:rPr>
          <w:rFonts w:ascii="Calibri" w:hAnsi="Calibri" w:eastAsia="Calibri" w:cs="Calibri"/>
          <w:i/>
          <w:iCs/>
          <w:color w:val="000000"/>
          <w:sz w:val="22"/>
          <w:szCs w:val="22"/>
        </w:rPr>
        <w:br/>
        <w:t xml:space="preserve">- Ocimum basilicum</w:t>
      </w:r>
      <w:r>
        <w:rPr>
          <w:rFonts w:ascii="Calibri" w:hAnsi="Calibri" w:eastAsia="Calibri" w:cs="Calibri"/>
          <w:color w:val="000000"/>
          <w:sz w:val="22"/>
          <w:szCs w:val="22"/>
        </w:rPr>
        <w:t xml:space="preserve"> (basil): foliar symptoms consisting of chlorotic spots, ring spots, leaf distortion, and stem necrosis (Poojari &amp; Naidu, 2013)</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br/>
        <w:t xml:space="preserve">- Solanum lycopersicum</w:t>
      </w:r>
      <w:r>
        <w:rPr>
          <w:rFonts w:ascii="Calibri" w:hAnsi="Calibri" w:eastAsia="Calibri" w:cs="Calibri"/>
          <w:color w:val="000000"/>
          <w:sz w:val="22"/>
          <w:szCs w:val="22"/>
        </w:rPr>
        <w:t xml:space="preserve"> (tomato): small necrotic spots to large circular blotches on leaves and sometimes on fruit (Lebas &amp; Ochoa-Corona, 2008)</w:t>
      </w:r>
      <w:r>
        <w:rPr>
          <w:rFonts w:ascii="Calibri" w:hAnsi="Calibri" w:eastAsia="Calibri" w:cs="Calibri"/>
          <w:i/>
          <w:iCs/>
          <w:color w:val="000000"/>
          <w:sz w:val="22"/>
          <w:szCs w:val="22"/>
        </w:rPr>
        <w:br/>
        <w:t xml:space="preserve">- Solanum tuberosum </w:t>
      </w:r>
      <w:r>
        <w:rPr>
          <w:rFonts w:ascii="Calibri" w:hAnsi="Calibri" w:eastAsia="Calibri" w:cs="Calibri"/>
          <w:color w:val="000000"/>
          <w:sz w:val="22"/>
          <w:szCs w:val="22"/>
        </w:rPr>
        <w:t xml:space="preserve">(potato): leaves of greenhouse-grown potato exhibiting necrotic lesions with a concentric pattern (Perry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Orthotospoviruses form enveloped spherical particles with a diameter of 80-120 nm. The lipid envelope of orthotospoviruses contains transmembrane tips composed of two glycoproteins that form oligomeric structures on the outside of the envelope. The cytoplasmic tails of the glycoproteins interact with the nucleoproteins encapsulating at least one copy of the three linear ssRNA segments (Butković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plants, especially the leaves, should be examined for symptoms. Particular attention should be paid if thrips are present. If necessary, samples should be taken for laboratory testing for definitive identification of the pest. </w:t>
      </w:r>
    </w:p>
    <w:p>
      <w:pPr>
        <w:widowControl w:val="on"/>
        <w:pBdr/>
        <w:spacing w:before="220" w:after="220" w:line="240" w:lineRule="auto"/>
        <w:ind w:left="0" w:right="0"/>
        <w:jc w:val="both"/>
      </w:pPr>
      <w:r>
        <w:rPr>
          <w:rFonts w:ascii="Calibri" w:hAnsi="Calibri" w:eastAsia="Calibri" w:cs="Calibri"/>
          <w:color w:val="000000"/>
          <w:sz w:val="22"/>
          <w:szCs w:val="22"/>
        </w:rPr>
        <w:t xml:space="preserve">The tests recommended for the detection and identification of INSV are described in EPPO Standard PM 7/139 Tospoviruses (genus </w:t>
      </w:r>
      <w:r>
        <w:rPr>
          <w:rFonts w:ascii="Calibri" w:hAnsi="Calibri" w:eastAsia="Calibri" w:cs="Calibri"/>
          <w:i/>
          <w:iCs/>
          <w:color w:val="000000"/>
          <w:sz w:val="22"/>
          <w:szCs w:val="22"/>
        </w:rPr>
        <w:t xml:space="preserve">Orthotospovirus</w:t>
      </w:r>
      <w:r>
        <w:rPr>
          <w:rFonts w:ascii="Calibri" w:hAnsi="Calibri" w:eastAsia="Calibri" w:cs="Calibri"/>
          <w:color w:val="000000"/>
          <w:sz w:val="22"/>
          <w:szCs w:val="22"/>
        </w:rPr>
        <w:t xml:space="preserve">) (EPPO, 2020). Electron microscopy can be used for the detection of INSV and other viruses of the same genus, as they share a typical morphology. Mechanical inoculation of test plants can be used for detection and subsequent identification by other methods. Several ELISA kits and serological tests for on-site detection are commercially available and can be used as screening tools for INSV. Several molecular tests have been described for the detection of INSV, and some for identification. Sequence analysis of amplicons obtained by the generic conventional PCR tests can also be used for INSV identification. The deﬁnite identiﬁcation should be based on the sequence of the complete N gene according to the species demarcation criteria of ICTV. In addition, high-throughput sequencing is a technology that can obtain (nearly) complete genome sequences, and analysis of these sequences can be used to identify a virus isolate.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INSV is a systemic pathogen and as such it is transmitted very efficiently by all vegetative propagation techniques. In international trade, INSV can be transmitted by susceptible host plants for planting (whether potted or not), and is particularly able to spread further if these plants also carry vectors. Thrips are easily transported on above-ground fresh plant parts (e.g. cut foliage, cut flowers and cut branches) hidden under bracts, in buds and leaf bases. Insect vectors that have acquired INSV and that invade new areas can transmit INSV to new hosts. Short distance spread of thrips vectors by natural means within and between adjacent greenhouses, orchards, and other production sites is likely, but long-distance spread, even in strong winds is less common. Weeds can provide a virus reservoir from which thrips vectors can migrate into cultivated ornamentals or crop fields, which then become heavily infected. Mechanical transmission of INSV only plays a limited role in virus epidemiology in the ornamental industry and agriculture. Transmission through seeds is considered not to be a pathway or to be a highly unlikely pathway (see Biology) (Mound, 1983; Kirk &amp; Terry, 2003; Okuda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EFSA, 2012b; Joseph &amp; Koike,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greatest economic losses due to INSV infection have been reported in crops of cut flowers and potted plants, especially when infested with </w:t>
      </w:r>
      <w:r>
        <w:rPr>
          <w:rFonts w:ascii="Calibri" w:hAnsi="Calibri" w:eastAsia="Calibri" w:cs="Calibri"/>
          <w:i/>
          <w:iCs/>
          <w:color w:val="000000"/>
          <w:sz w:val="22"/>
          <w:szCs w:val="22"/>
        </w:rPr>
        <w:t xml:space="preserve">F. occidentalis</w:t>
      </w:r>
      <w:r>
        <w:rPr>
          <w:rFonts w:ascii="Calibri" w:hAnsi="Calibri" w:eastAsia="Calibri" w:cs="Calibri"/>
          <w:color w:val="000000"/>
          <w:sz w:val="22"/>
          <w:szCs w:val="22"/>
        </w:rPr>
        <w:t xml:space="preserve"> (Lebas &amp; Ochoa-Corona, 2008). Severe losses due to INSV infection have been reported in </w:t>
      </w:r>
      <w:r>
        <w:rPr>
          <w:rFonts w:ascii="Calibri" w:hAnsi="Calibri" w:eastAsia="Calibri" w:cs="Calibri"/>
          <w:i/>
          <w:iCs/>
          <w:color w:val="000000"/>
          <w:sz w:val="22"/>
          <w:szCs w:val="22"/>
        </w:rPr>
        <w:t xml:space="preserve">Cineraria, Ranunculus, Impatiens, New Guinea Impatiens, Cyclamen, Exacum, Begonia, Primula,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Sinningia</w:t>
      </w:r>
      <w:r>
        <w:rPr>
          <w:rFonts w:ascii="Calibri" w:hAnsi="Calibri" w:eastAsia="Calibri" w:cs="Calibri"/>
          <w:color w:val="000000"/>
          <w:sz w:val="22"/>
          <w:szCs w:val="22"/>
        </w:rPr>
        <w:t xml:space="preserve"> (synonym </w:t>
      </w:r>
      <w:r>
        <w:rPr>
          <w:rFonts w:ascii="Calibri" w:hAnsi="Calibri" w:eastAsia="Calibri" w:cs="Calibri"/>
          <w:i/>
          <w:iCs/>
          <w:color w:val="000000"/>
          <w:sz w:val="22"/>
          <w:szCs w:val="22"/>
        </w:rPr>
        <w:t xml:space="preserve">Gloxinia</w:t>
      </w:r>
      <w:r>
        <w:rPr>
          <w:rFonts w:ascii="Calibri" w:hAnsi="Calibri" w:eastAsia="Calibri" w:cs="Calibri"/>
          <w:color w:val="000000"/>
          <w:sz w:val="22"/>
          <w:szCs w:val="22"/>
        </w:rPr>
        <w:t xml:space="preserve">) (Daughtrey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This was due to symptoms such as necrotic spots, necrotic veins, ringspots and stem necrosis, which make ornamental plants quite unattractive and thus unsaleable (EFSA, 2012b). However, EFSA (2012b) classified the impact of orthotospovirus diseases on ornamental plant production as moderate; as damage may be limited to a few leaves and flowers and does not necessarily affect entire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INSV is found in vegetable crops, its impact is not apparently as great on these hosts as that of TSWV. However, there are some cases in which important damage is reported. For example, due to INSV infection, 30 to 40% of lettuce plants in four fields in Greece were affected (Beris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and severe outbreaks were recorded in lettuce crops in California (Kuo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use of healthy planting material and a management strategy based on a combination of thrips and weed control, the use of resistant plant varieties and other measures is considered crucial for orthotospovirus control (EFSA, 2012b;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20" w:after="220" w:line="240" w:lineRule="auto"/>
        <w:ind w:left="0" w:right="0"/>
        <w:jc w:val="both"/>
      </w:pPr>
      <w:r>
        <w:rPr>
          <w:rFonts w:ascii="Calibri" w:hAnsi="Calibri" w:eastAsia="Calibri" w:cs="Calibri"/>
          <w:color w:val="000000"/>
          <w:sz w:val="22"/>
          <w:szCs w:val="22"/>
        </w:rPr>
        <w:t xml:space="preserve">INSV is included in the certification scheme for herbaceous ornamentals (EPPO, 2008), among which there are specific certification schemes for chrysanthemums, pelargoniums, begonias, New Guinea hybrids of impatiens, kalanchoe and petunias (EPPO, 2000a-f). This reduces the impact and spread associated with the plants for the planting pathway.</w:t>
      </w:r>
    </w:p>
    <w:p>
      <w:pPr>
        <w:widowControl w:val="on"/>
        <w:pBdr/>
        <w:spacing w:before="220" w:after="220" w:line="240" w:lineRule="auto"/>
        <w:ind w:left="0" w:right="0"/>
        <w:jc w:val="both"/>
      </w:pPr>
      <w:r>
        <w:rPr>
          <w:rFonts w:ascii="Calibri" w:hAnsi="Calibri" w:eastAsia="Calibri" w:cs="Calibri"/>
          <w:color w:val="000000"/>
          <w:sz w:val="22"/>
          <w:szCs w:val="22"/>
        </w:rPr>
        <w:t xml:space="preserve">The same control measures as for TSWV (EPPO, 2022) are suggested and described further on: Seedling beds should be separated from flowering ornamental plants or susceptible crops and surrounding areas kept free of weeds. Greenhouse and outdoor crops should be inspected regularly and as often as possible after planting, and can be tested during the entire propagation scheme. The presence of thrips in crops should be monitored with yellow sticky card traps. If the disease appears in a crop, infected plants should be immediately uprooted and destroyed, and the greenhouse/ field treated with an insecticide against thrips.</w:t>
      </w:r>
    </w:p>
    <w:p>
      <w:pPr>
        <w:widowControl w:val="on"/>
        <w:pBdr/>
        <w:spacing w:before="220" w:after="220" w:line="240" w:lineRule="auto"/>
        <w:ind w:left="0" w:right="0"/>
        <w:jc w:val="both"/>
      </w:pPr>
      <w:r>
        <w:rPr>
          <w:rFonts w:ascii="Calibri" w:hAnsi="Calibri" w:eastAsia="Calibri" w:cs="Calibri"/>
          <w:color w:val="000000"/>
          <w:sz w:val="22"/>
          <w:szCs w:val="22"/>
        </w:rPr>
        <w:t xml:space="preserve">Thrips are difficult to control because they can become resistant to several insecticides used (Gao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To avoid the development of resistance mechanisms, it is important to rotate insecticides with different active ingredients (Bielza, 2008). The prevalence of thrips vectors under protected conditions can be reduced by introducing biocontrol agents. These include predatory mites, entomopathogenic fungi and nematodes, parasitic wasps and generalist predators (Sánchez &amp; Lacasa, 2002; Blaeser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Ansari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Messelink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Cloyd, 2009). To prevent infestation of a new crop with a thrips population, it is recommended that greenhouses be kept completely free of crop residues and weeds for at least six weeks prior to planting and that seedlings be treated with insecticides before planting (EFSA, 2012a). In addition, fine-mesh netting can be potentially useful to exclude thrips in greenhouses (EFSA, 2012a).</w:t>
      </w:r>
    </w:p>
    <w:p>
      <w:pPr>
        <w:widowControl w:val="on"/>
        <w:pBdr/>
        <w:spacing w:before="220" w:after="220" w:line="240" w:lineRule="auto"/>
        <w:ind w:left="0" w:right="0"/>
        <w:jc w:val="both"/>
      </w:pPr>
      <w:r>
        <w:rPr>
          <w:rFonts w:ascii="Calibri" w:hAnsi="Calibri" w:eastAsia="Calibri" w:cs="Calibri"/>
          <w:color w:val="000000"/>
          <w:sz w:val="22"/>
          <w:szCs w:val="22"/>
        </w:rPr>
        <w:t xml:space="preserve">Cultivation of INSV resistant (tolerant/immune) cultivars would reduce the incidence of the disease, but unfortunately, resistant varieties of the vast majority INSV host plants are not available (Peng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Sears, 2017; Simko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Originally, INSV was thought to be of importance only to ornamentals. However, subsequent reports have shown that the host range of the virus has expanded to include several horticultural, agricultural, and field crops. It is reported from many European and Mediterranean countries. In addition, its thrips vector species are widely distributed in these countries. Spread can occur through thrips vector activity and through movement of infected hosts. Because INSV can cause both yield and quality losses in a variety of hosts, significant impacts are expected in regions where thrips vectors are present if appropriate control measures are not taken.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To prevent the introduction, spread and impact of INSV, requirements at production and/or import for different host species apply worldwide. These requirements can vary with regards to crop and prevalence at the place of origin. </w:t>
      </w:r>
    </w:p>
    <w:p>
      <w:pPr>
        <w:widowControl w:val="on"/>
        <w:pBdr/>
        <w:spacing w:before="220" w:after="220" w:line="240" w:lineRule="auto"/>
        <w:ind w:left="0" w:right="0"/>
        <w:jc w:val="both"/>
      </w:pPr>
      <w:r>
        <w:rPr>
          <w:rFonts w:ascii="Calibri" w:hAnsi="Calibri" w:eastAsia="Calibri" w:cs="Calibri"/>
          <w:color w:val="000000"/>
          <w:sz w:val="22"/>
          <w:szCs w:val="22"/>
        </w:rPr>
        <w:t xml:space="preserve">EPPO countries where INSV does not occur or is not widespread may consider regulation as a quarantine pest. If they do so, these countries may require that plants have been produced in a pest free area, in a pest-free place/site of production or be subject to inspection and/or testing e.g. as performed in certification schemes. </w:t>
      </w:r>
    </w:p>
    <w:p>
      <w:pPr>
        <w:widowControl w:val="on"/>
        <w:pBdr/>
        <w:spacing w:before="220" w:after="220" w:line="240" w:lineRule="auto"/>
        <w:ind w:left="0" w:right="0"/>
        <w:jc w:val="both"/>
      </w:pPr>
      <w:r>
        <w:rPr>
          <w:rFonts w:ascii="Calibri" w:hAnsi="Calibri" w:eastAsia="Calibri" w:cs="Calibri"/>
          <w:color w:val="000000"/>
          <w:sz w:val="22"/>
          <w:szCs w:val="22"/>
        </w:rPr>
        <w:t xml:space="preserve">In areas where INSV does occur, it was assessed during the EU Quality pest project as fulfilling the minimum criteria for listing as a regulated non-quarantine pest (RNQP) for propagating and planting material (other than seeds) of </w:t>
      </w:r>
      <w:r>
        <w:rPr>
          <w:rFonts w:ascii="Calibri" w:hAnsi="Calibri" w:eastAsia="Calibri" w:cs="Calibri"/>
          <w:i/>
          <w:iCs/>
          <w:color w:val="000000"/>
          <w:sz w:val="22"/>
          <w:szCs w:val="22"/>
        </w:rPr>
        <w:t xml:space="preserve">Begonia x hiemalis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Impatiens </w:t>
      </w:r>
      <w:r>
        <w:rPr>
          <w:rFonts w:ascii="Calibri" w:hAnsi="Calibri" w:eastAsia="Calibri" w:cs="Calibri"/>
          <w:color w:val="000000"/>
          <w:sz w:val="22"/>
          <w:szCs w:val="22"/>
        </w:rPr>
        <w:t xml:space="preserve">New Guinea hybrids (Picard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In particular, before starting the propagation and/or production of plants, it should be ensured that the planting material is free from INSV (INSV is included in certification schemes for various ornamental plants, see Control section). During the EU Quality pest project, in addition to the monitoring and treatments to ensure effective suppression of populations of relevant thrips vectors, it was recommended that no symptoms have been observed at the site of production during the current growing period, or that any plants at the production site showing symptoms of INSV during the current growing period have been rogued out and a representative sample of the plants to be marketed has been tested and found free from INSV. In the EU, INSV is regulated as a Union RNQP for such material.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Abudurexiti A, Adkins S, Alioto D Alkhovsky SV, Avšič-Županc T, Ballinger MJ, Bente DA, Kuhn JH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Taxonomy of the order Bunyavirales: update 2019. </w:t>
      </w:r>
      <w:r>
        <w:rPr>
          <w:rFonts w:ascii="Calibri" w:hAnsi="Calibri" w:eastAsia="Calibri" w:cs="Calibri"/>
          <w:i/>
          <w:iCs/>
          <w:color w:val="000000"/>
          <w:sz w:val="22"/>
          <w:szCs w:val="22"/>
        </w:rPr>
        <w:t xml:space="preserve">Archives of Virology </w:t>
      </w:r>
      <w:r>
        <w:rPr>
          <w:rFonts w:ascii="Calibri" w:hAnsi="Calibri" w:eastAsia="Calibri" w:cs="Calibri"/>
          <w:b/>
          <w:bCs/>
          <w:color w:val="000000"/>
          <w:sz w:val="22"/>
          <w:szCs w:val="22"/>
        </w:rPr>
        <w:t xml:space="preserve">164</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w:t>
      </w:r>
      <w:hyperlink r:id="rId9860664b39f4c3760" w:history="1">
        <w:r>
          <w:rPr>
            <w:rFonts w:ascii="Calibri" w:hAnsi="Calibri" w:eastAsia="Calibri" w:cs="Calibri"/>
            <w:color w:val="0000CC"/>
            <w:sz w:val="22"/>
            <w:szCs w:val="22"/>
            <w:u w:val="single"/>
          </w:rPr>
          <w:t xml:space="preserve">https://doi.org/10.1007/s00705-019-04253-6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Adegbola RO, Marshall SH, Batuman O, Ullman DE, Gilbertson RL, Adkins S, Naidu RA (2019) Sequence analysis of the medium and small RNAs of impatiens necrotic spot virus reveals segment reassortment but not recombination. </w:t>
      </w:r>
      <w:r>
        <w:rPr>
          <w:rFonts w:ascii="Calibri" w:hAnsi="Calibri" w:eastAsia="Calibri" w:cs="Calibri"/>
          <w:i/>
          <w:iCs/>
          <w:color w:val="000000"/>
          <w:sz w:val="22"/>
          <w:szCs w:val="22"/>
        </w:rPr>
        <w:t xml:space="preserve">Archives of Virology </w:t>
      </w:r>
      <w:r>
        <w:rPr>
          <w:rFonts w:ascii="Calibri" w:hAnsi="Calibri" w:eastAsia="Calibri" w:cs="Calibri"/>
          <w:b/>
          <w:bCs/>
          <w:color w:val="000000"/>
          <w:sz w:val="22"/>
          <w:szCs w:val="22"/>
        </w:rPr>
        <w:t xml:space="preserve">164</w:t>
      </w:r>
      <w:r>
        <w:rPr>
          <w:rFonts w:ascii="Calibri" w:hAnsi="Calibri" w:eastAsia="Calibri" w:cs="Calibri"/>
          <w:color w:val="000000"/>
          <w:sz w:val="22"/>
          <w:szCs w:val="22"/>
        </w:rPr>
        <w:t xml:space="preserve">, 2829–2836. </w:t>
      </w:r>
    </w:p>
    <w:p>
      <w:pPr>
        <w:widowControl w:val="on"/>
        <w:pBdr/>
        <w:spacing w:before="220" w:after="220" w:line="240" w:lineRule="auto"/>
        <w:ind w:left="0" w:right="0"/>
        <w:jc w:val="left"/>
      </w:pPr>
      <w:r>
        <w:rPr>
          <w:rFonts w:ascii="Calibri" w:hAnsi="Calibri" w:eastAsia="Calibri" w:cs="Calibri"/>
          <w:color w:val="000000"/>
          <w:sz w:val="22"/>
          <w:szCs w:val="22"/>
        </w:rPr>
        <w:t xml:space="preserve">Ansari M, Brownbridge M, Shah F &amp; Butt T (2008) Efficacy of entomopathogenic fungi against soil‐dwelling life stages of western flower thrips, </w:t>
      </w:r>
      <w:r>
        <w:rPr>
          <w:rFonts w:ascii="Calibri" w:hAnsi="Calibri" w:eastAsia="Calibri" w:cs="Calibri"/>
          <w:i/>
          <w:iCs/>
          <w:color w:val="000000"/>
          <w:sz w:val="22"/>
          <w:szCs w:val="22"/>
        </w:rPr>
        <w:t xml:space="preserve">Frankliniella occidentalis</w:t>
      </w:r>
      <w:r>
        <w:rPr>
          <w:rFonts w:ascii="Calibri" w:hAnsi="Calibri" w:eastAsia="Calibri" w:cs="Calibri"/>
          <w:color w:val="000000"/>
          <w:sz w:val="22"/>
          <w:szCs w:val="22"/>
        </w:rPr>
        <w:t xml:space="preserve">, in plant‐growing media.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127</w:t>
      </w:r>
      <w:r>
        <w:rPr>
          <w:rFonts w:ascii="Calibri" w:hAnsi="Calibri" w:eastAsia="Calibri" w:cs="Calibri"/>
          <w:color w:val="000000"/>
          <w:sz w:val="22"/>
          <w:szCs w:val="22"/>
        </w:rPr>
        <w:t xml:space="preserve">, 80–87.</w:t>
      </w:r>
    </w:p>
    <w:p>
      <w:pPr>
        <w:widowControl w:val="on"/>
        <w:pBdr/>
        <w:spacing w:before="220" w:after="220" w:line="240" w:lineRule="auto"/>
        <w:ind w:left="0" w:right="0"/>
        <w:jc w:val="left"/>
      </w:pPr>
      <w:r>
        <w:rPr>
          <w:rFonts w:ascii="Calibri" w:hAnsi="Calibri" w:eastAsia="Calibri" w:cs="Calibri"/>
          <w:color w:val="000000"/>
          <w:sz w:val="22"/>
          <w:szCs w:val="22"/>
        </w:rPr>
        <w:t xml:space="preserve">Baker CA, Davison D &amp; Jones L (2007) Impatiens necrotic spot virus and Tomato spotted wilt virus diagnosed in </w:t>
      </w:r>
      <w:r>
        <w:rPr>
          <w:rFonts w:ascii="Calibri" w:hAnsi="Calibri" w:eastAsia="Calibri" w:cs="Calibri"/>
          <w:i/>
          <w:iCs/>
          <w:color w:val="000000"/>
          <w:sz w:val="22"/>
          <w:szCs w:val="22"/>
        </w:rPr>
        <w:t xml:space="preserve">Phalaenopsis </w:t>
      </w:r>
      <w:r>
        <w:rPr>
          <w:rFonts w:ascii="Calibri" w:hAnsi="Calibri" w:eastAsia="Calibri" w:cs="Calibri"/>
          <w:color w:val="000000"/>
          <w:sz w:val="22"/>
          <w:szCs w:val="22"/>
        </w:rPr>
        <w:t xml:space="preserve">orchids from two Florida nurseries.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(11), 1515.</w:t>
      </w:r>
    </w:p>
    <w:p>
      <w:pPr>
        <w:widowControl w:val="on"/>
        <w:pBdr/>
        <w:spacing w:before="220" w:after="220" w:line="240" w:lineRule="auto"/>
        <w:ind w:left="0" w:right="0"/>
        <w:jc w:val="left"/>
      </w:pPr>
      <w:r>
        <w:rPr>
          <w:rFonts w:ascii="Calibri" w:hAnsi="Calibri" w:eastAsia="Calibri" w:cs="Calibri"/>
          <w:color w:val="000000"/>
          <w:sz w:val="22"/>
          <w:szCs w:val="22"/>
        </w:rPr>
        <w:t xml:space="preserve">Beris D, Malandraki I, Kektsidou O, Vassilakos N &amp; Varveri C (2020) First report of impatiens necrotic spot virus infecting lettuce in Greece.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(10), p 2742.</w:t>
      </w:r>
    </w:p>
    <w:p>
      <w:pPr>
        <w:widowControl w:val="on"/>
        <w:pBdr/>
        <w:spacing w:before="220" w:after="220" w:line="240" w:lineRule="auto"/>
        <w:ind w:left="0" w:right="0"/>
        <w:jc w:val="left"/>
      </w:pPr>
      <w:r>
        <w:rPr>
          <w:rFonts w:ascii="Calibri" w:hAnsi="Calibri" w:eastAsia="Calibri" w:cs="Calibri"/>
          <w:color w:val="000000"/>
          <w:sz w:val="22"/>
          <w:szCs w:val="22"/>
        </w:rPr>
        <w:t xml:space="preserve">Bielza P (2008) Insecticide resistance management strategies against the western flower thrips, </w:t>
      </w:r>
      <w:r>
        <w:rPr>
          <w:rFonts w:ascii="Calibri" w:hAnsi="Calibri" w:eastAsia="Calibri" w:cs="Calibri"/>
          <w:i/>
          <w:iCs/>
          <w:color w:val="000000"/>
          <w:sz w:val="22"/>
          <w:szCs w:val="22"/>
        </w:rPr>
        <w:t xml:space="preserve">Frankliniella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1131–1138.</w:t>
      </w:r>
    </w:p>
    <w:p>
      <w:pPr>
        <w:widowControl w:val="on"/>
        <w:pBdr/>
        <w:spacing w:before="220" w:after="220" w:line="240" w:lineRule="auto"/>
        <w:ind w:left="0" w:right="0"/>
        <w:jc w:val="left"/>
      </w:pPr>
      <w:r>
        <w:rPr>
          <w:rFonts w:ascii="Calibri" w:hAnsi="Calibri" w:eastAsia="Calibri" w:cs="Calibri"/>
          <w:color w:val="000000"/>
          <w:sz w:val="22"/>
          <w:szCs w:val="22"/>
        </w:rPr>
        <w:t xml:space="preserve">Blaeser P, Sengonca C &amp; Zegula T (2004) The potential use of different predatory bug species in the biological control of </w:t>
      </w:r>
      <w:r>
        <w:rPr>
          <w:rFonts w:ascii="Calibri" w:hAnsi="Calibri" w:eastAsia="Calibri" w:cs="Calibri"/>
          <w:i/>
          <w:iCs/>
          <w:color w:val="000000"/>
          <w:sz w:val="22"/>
          <w:szCs w:val="22"/>
        </w:rPr>
        <w:t xml:space="preserve">Frankliniella occidentalis</w:t>
      </w:r>
      <w:r>
        <w:rPr>
          <w:rFonts w:ascii="Calibri" w:hAnsi="Calibri" w:eastAsia="Calibri" w:cs="Calibri"/>
          <w:color w:val="000000"/>
          <w:sz w:val="22"/>
          <w:szCs w:val="22"/>
        </w:rPr>
        <w:t xml:space="preserve"> (Pergande) (Thysanoptera: Thripidae).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211–219.</w:t>
      </w:r>
    </w:p>
    <w:p>
      <w:pPr>
        <w:widowControl w:val="on"/>
        <w:pBdr/>
        <w:spacing w:before="220" w:after="220" w:line="240" w:lineRule="auto"/>
        <w:ind w:left="0" w:right="0"/>
        <w:jc w:val="left"/>
      </w:pPr>
      <w:r>
        <w:rPr>
          <w:rFonts w:ascii="Calibri" w:hAnsi="Calibri" w:eastAsia="Calibri" w:cs="Calibri"/>
          <w:color w:val="000000"/>
          <w:sz w:val="22"/>
          <w:szCs w:val="22"/>
        </w:rPr>
        <w:t xml:space="preserve">Butković A, González R &amp; Elena SF (2021) Revisiting Orthotospovirus phylogeny using full‑genome data and testing the contribution of selection, recombination and segment reassortment in the origin of members of new species. </w:t>
      </w:r>
      <w:r>
        <w:rPr>
          <w:rFonts w:ascii="Calibri" w:hAnsi="Calibri" w:eastAsia="Calibri" w:cs="Calibri"/>
          <w:i/>
          <w:iCs/>
          <w:color w:val="000000"/>
          <w:sz w:val="22"/>
          <w:szCs w:val="22"/>
        </w:rPr>
        <w:t xml:space="preserve">Archives of Virology </w:t>
      </w:r>
      <w:r>
        <w:rPr>
          <w:rFonts w:ascii="Calibri" w:hAnsi="Calibri" w:eastAsia="Calibri" w:cs="Calibri"/>
          <w:b/>
          <w:bCs/>
          <w:color w:val="000000"/>
          <w:sz w:val="22"/>
          <w:szCs w:val="22"/>
        </w:rPr>
        <w:t xml:space="preserve">166</w:t>
      </w:r>
      <w:r>
        <w:rPr>
          <w:rFonts w:ascii="Calibri" w:hAnsi="Calibri" w:eastAsia="Calibri" w:cs="Calibri"/>
          <w:color w:val="000000"/>
          <w:sz w:val="22"/>
          <w:szCs w:val="22"/>
        </w:rPr>
        <w:t xml:space="preserve">, 491–499. </w:t>
      </w:r>
    </w:p>
    <w:p>
      <w:pPr>
        <w:widowControl w:val="on"/>
        <w:pBdr/>
        <w:spacing w:before="220" w:after="220" w:line="240" w:lineRule="auto"/>
        <w:ind w:left="0" w:right="0"/>
        <w:jc w:val="left"/>
      </w:pPr>
      <w:r>
        <w:rPr>
          <w:rFonts w:ascii="Calibri" w:hAnsi="Calibri" w:eastAsia="Calibri" w:cs="Calibri"/>
          <w:color w:val="000000"/>
          <w:sz w:val="22"/>
          <w:szCs w:val="22"/>
        </w:rPr>
        <w:t xml:space="preserve">Chen X-J, Huang Y, Li J, Huang C-J, Liu Y, Zhu M &amp; Tao X-R (2016) First report of </w:t>
      </w:r>
      <w:r>
        <w:rPr>
          <w:rFonts w:ascii="Calibri" w:hAnsi="Calibri" w:eastAsia="Calibri" w:cs="Calibri"/>
          <w:i/>
          <w:iCs/>
          <w:color w:val="000000"/>
          <w:sz w:val="22"/>
          <w:szCs w:val="22"/>
        </w:rPr>
        <w:t xml:space="preserve">Impatiens necrotic spot virus</w:t>
      </w:r>
      <w:r>
        <w:rPr>
          <w:rFonts w:ascii="Calibri" w:hAnsi="Calibri" w:eastAsia="Calibri" w:cs="Calibri"/>
          <w:color w:val="000000"/>
          <w:sz w:val="22"/>
          <w:szCs w:val="22"/>
        </w:rPr>
        <w:t xml:space="preserve"> causing chlorotic ringspots on pepper in Yunnan, China.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(5), 1029.</w:t>
      </w:r>
    </w:p>
    <w:p>
      <w:pPr>
        <w:widowControl w:val="on"/>
        <w:pBdr/>
        <w:spacing w:before="220" w:after="220" w:line="240" w:lineRule="auto"/>
        <w:ind w:left="0" w:right="0"/>
        <w:jc w:val="left"/>
      </w:pPr>
      <w:r>
        <w:rPr>
          <w:rFonts w:ascii="Calibri" w:hAnsi="Calibri" w:eastAsia="Calibri" w:cs="Calibri"/>
          <w:color w:val="000000"/>
          <w:sz w:val="22"/>
          <w:szCs w:val="22"/>
        </w:rPr>
        <w:t xml:space="preserve">Cheng XF, Dong JH, Fang Q, Ding M, McBeath JH &amp; Zhang ZK (2010) Detection of Impatiens necrotic spot virus infecting </w:t>
      </w:r>
      <w:r>
        <w:rPr>
          <w:rFonts w:ascii="Calibri" w:hAnsi="Calibri" w:eastAsia="Calibri" w:cs="Calibri"/>
          <w:i/>
          <w:iCs/>
          <w:color w:val="000000"/>
          <w:sz w:val="22"/>
          <w:szCs w:val="22"/>
        </w:rPr>
        <w:t xml:space="preserve">Phalaenopsis </w:t>
      </w:r>
      <w:r>
        <w:rPr>
          <w:rFonts w:ascii="Calibri" w:hAnsi="Calibri" w:eastAsia="Calibri" w:cs="Calibri"/>
          <w:color w:val="000000"/>
          <w:sz w:val="22"/>
          <w:szCs w:val="22"/>
        </w:rPr>
        <w:t xml:space="preserve">in Yunnan.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(2), 545.</w:t>
      </w:r>
    </w:p>
    <w:p>
      <w:pPr>
        <w:widowControl w:val="on"/>
        <w:pBdr/>
        <w:spacing w:before="220" w:after="220" w:line="240" w:lineRule="auto"/>
        <w:ind w:left="0" w:right="0"/>
        <w:jc w:val="left"/>
      </w:pPr>
      <w:r>
        <w:rPr>
          <w:rFonts w:ascii="Calibri" w:hAnsi="Calibri" w:eastAsia="Calibri" w:cs="Calibri"/>
          <w:color w:val="000000"/>
          <w:sz w:val="22"/>
          <w:szCs w:val="22"/>
        </w:rPr>
        <w:t xml:space="preserve">Cloyd RA (2009) Western flower thrips (</w:t>
      </w:r>
      <w:r>
        <w:rPr>
          <w:rFonts w:ascii="Calibri" w:hAnsi="Calibri" w:eastAsia="Calibri" w:cs="Calibri"/>
          <w:i/>
          <w:iCs/>
          <w:color w:val="000000"/>
          <w:sz w:val="22"/>
          <w:szCs w:val="22"/>
        </w:rPr>
        <w:t xml:space="preserve">Frankliniella occidentalis</w:t>
      </w:r>
      <w:r>
        <w:rPr>
          <w:rFonts w:ascii="Calibri" w:hAnsi="Calibri" w:eastAsia="Calibri" w:cs="Calibri"/>
          <w:color w:val="000000"/>
          <w:sz w:val="22"/>
          <w:szCs w:val="22"/>
        </w:rPr>
        <w:t xml:space="preserve">) management on ornamental crops grown in greenhouses: Have we reached an impasse? </w:t>
      </w:r>
      <w:r>
        <w:rPr>
          <w:rFonts w:ascii="Calibri" w:hAnsi="Calibri" w:eastAsia="Calibri" w:cs="Calibri"/>
          <w:i/>
          <w:iCs/>
          <w:color w:val="000000"/>
          <w:sz w:val="22"/>
          <w:szCs w:val="22"/>
        </w:rPr>
        <w:t xml:space="preserve">Pest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1–9.</w:t>
      </w:r>
    </w:p>
    <w:p>
      <w:pPr>
        <w:widowControl w:val="on"/>
        <w:pBdr/>
        <w:spacing w:before="220" w:after="220" w:line="240" w:lineRule="auto"/>
        <w:ind w:left="0" w:right="0"/>
        <w:jc w:val="left"/>
      </w:pPr>
      <w:r>
        <w:rPr>
          <w:rFonts w:ascii="Calibri" w:hAnsi="Calibri" w:eastAsia="Calibri" w:cs="Calibri"/>
          <w:color w:val="000000"/>
          <w:sz w:val="22"/>
          <w:szCs w:val="22"/>
        </w:rPr>
        <w:t xml:space="preserve">Daughtrey ML, Jones RK, Moyer JW, Daub ME &amp; Baker JR (1997) Tospoviruses strike the greenhouse industry; INSV has become a major pathogen on flower crops</w:t>
      </w:r>
      <w:r>
        <w:rPr>
          <w:rFonts w:ascii="Calibri" w:hAnsi="Calibri" w:eastAsia="Calibri" w:cs="Calibri"/>
          <w:i/>
          <w:iCs/>
          <w:color w:val="000000"/>
          <w:sz w:val="22"/>
          <w:szCs w:val="22"/>
        </w:rPr>
        <w:t xml:space="preserve">. 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(11), 1220-1230.</w:t>
      </w:r>
    </w:p>
    <w:p>
      <w:pPr>
        <w:widowControl w:val="on"/>
        <w:pBdr/>
        <w:spacing w:before="220" w:after="220" w:line="240" w:lineRule="auto"/>
        <w:ind w:left="0" w:right="0"/>
        <w:jc w:val="left"/>
      </w:pPr>
      <w:r>
        <w:rPr>
          <w:rFonts w:ascii="Calibri" w:hAnsi="Calibri" w:eastAsia="Calibri" w:cs="Calibri"/>
          <w:color w:val="000000"/>
          <w:sz w:val="22"/>
          <w:szCs w:val="22"/>
        </w:rPr>
        <w:t xml:space="preserve">de Avila AC, de Haan P, Kitajima EW, Kormelink R, Resende RO, Goldbach RW &amp; Peters D (1992) Characterization of a distinct isolate of tomato spotted wilt virus (TSWV) from </w:t>
      </w:r>
      <w:r>
        <w:rPr>
          <w:rFonts w:ascii="Calibri" w:hAnsi="Calibri" w:eastAsia="Calibri" w:cs="Calibri"/>
          <w:i/>
          <w:iCs/>
          <w:color w:val="000000"/>
          <w:sz w:val="22"/>
          <w:szCs w:val="22"/>
        </w:rPr>
        <w:t xml:space="preserve">Impatiens</w:t>
      </w:r>
      <w:r>
        <w:rPr>
          <w:rFonts w:ascii="Calibri" w:hAnsi="Calibri" w:eastAsia="Calibri" w:cs="Calibri"/>
          <w:color w:val="000000"/>
          <w:sz w:val="22"/>
          <w:szCs w:val="22"/>
        </w:rPr>
        <w:t xml:space="preserve"> sp. in the Netherlands.</w:t>
      </w:r>
      <w:r>
        <w:rPr>
          <w:rFonts w:ascii="Calibri" w:hAnsi="Calibri" w:eastAsia="Calibri" w:cs="Calibri"/>
          <w:i/>
          <w:iCs/>
          <w:color w:val="000000"/>
          <w:sz w:val="22"/>
          <w:szCs w:val="22"/>
        </w:rPr>
        <w:t xml:space="preserve"> 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134</w:t>
      </w:r>
      <w:r>
        <w:rPr>
          <w:rFonts w:ascii="Calibri" w:hAnsi="Calibri" w:eastAsia="Calibri" w:cs="Calibri"/>
          <w:color w:val="000000"/>
          <w:sz w:val="22"/>
          <w:szCs w:val="22"/>
        </w:rPr>
        <w:t xml:space="preserve">, 133-151.</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(2012a) Scientific Opinion on the risk to plant health posed by Tomato spotted wilt virus to the EU territory with identification and evaluation of risk reduction options.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10(12), 3029. </w:t>
      </w:r>
      <w:hyperlink r:id="rId9689664b39f4c3d65" w:history="1">
        <w:r>
          <w:rPr>
            <w:rFonts w:ascii="Calibri" w:hAnsi="Calibri" w:eastAsia="Calibri" w:cs="Calibri"/>
            <w:color w:val="0000CC"/>
            <w:sz w:val="22"/>
            <w:szCs w:val="22"/>
            <w:u w:val="single"/>
          </w:rPr>
          <w:t xml:space="preserve">https://doi.org/10.2903/j.efsa.2012.3029</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(2012b) Scientific Opinion on the pest categorisation of the tospoviruses.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10(7), 2772. </w:t>
      </w:r>
      <w:hyperlink r:id="rId6141664b39f4c3dc7" w:history="1">
        <w:r>
          <w:rPr>
            <w:rFonts w:ascii="Calibri" w:hAnsi="Calibri" w:eastAsia="Calibri" w:cs="Calibri"/>
            <w:color w:val="0000CC"/>
            <w:sz w:val="22"/>
            <w:szCs w:val="22"/>
            <w:u w:val="single"/>
          </w:rPr>
          <w:t xml:space="preserve">https://doi.org/10.2903/j.efsa.2012.2772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(2000a) Production of healthy plants for planting. PM 4/6 (2) Certiﬁcation scheme for chrysanthemum.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105-114.</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(2000b) Production of healthy plants for planting. PM 4/3 (3) Certiﬁcation scheme for pelargonium.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67-78.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(2000c) Production of healthy plants for planting. PM 4/19 (2) Certiﬁcation scheme for begonia.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135-145.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(2000d) Production of healthy plants for planting. PM 4/20 (2) Certiﬁcation scheme for New Guinea hybrids of impatiens.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147-157.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(2000e) Production of healthy plants for planting. PM 4/25 (2) Certiﬁcation scheme for kalanchoe.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199-210.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(2000f) Production of healthy plants for planting. PM 4/26 (2) Certiﬁcation scheme for petunia.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211-221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(2008) Schemes for the production of healthy plants for planting. PM 4/34 (1) Production of pathogen-tested herbaceous ornamentals.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31-52.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 PM 7/139(1) Tospoviruses (Genus Orthotospovirus).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217-240.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 </w:t>
      </w:r>
      <w:r>
        <w:rPr>
          <w:rFonts w:ascii="Calibri" w:hAnsi="Calibri" w:eastAsia="Calibri" w:cs="Calibri"/>
          <w:i/>
          <w:iCs/>
          <w:color w:val="000000"/>
          <w:sz w:val="22"/>
          <w:szCs w:val="22"/>
        </w:rPr>
        <w:t xml:space="preserve">Tomato spotted wilt virus</w:t>
      </w:r>
      <w:r>
        <w:rPr>
          <w:rFonts w:ascii="Calibri" w:hAnsi="Calibri" w:eastAsia="Calibri" w:cs="Calibri"/>
          <w:color w:val="000000"/>
          <w:sz w:val="22"/>
          <w:szCs w:val="22"/>
        </w:rPr>
        <w:t xml:space="preserve">. EPPO datasheets on pests recommended for regulation. Available online. </w:t>
      </w:r>
      <w:hyperlink r:id="rId2000664b39f4c40d9" w:history="1">
        <w:r>
          <w:rPr>
            <w:rFonts w:ascii="Calibri" w:hAnsi="Calibri" w:eastAsia="Calibri" w:cs="Calibri"/>
            <w:color w:val="0000CC"/>
            <w:sz w:val="22"/>
            <w:szCs w:val="22"/>
            <w:u w:val="single"/>
          </w:rPr>
          <w:t xml:space="preserve">https://gd.eppo.int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Gao Y, Lei Z &amp; Reitz SR (2012) Western flower thrips resistance to insecticides: detection, mechanisms and management strategies.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68, 111-1121.</w:t>
      </w:r>
    </w:p>
    <w:p>
      <w:pPr>
        <w:widowControl w:val="on"/>
        <w:pBdr/>
        <w:spacing w:before="220" w:after="220" w:line="240" w:lineRule="auto"/>
        <w:ind w:left="0" w:right="0"/>
        <w:jc w:val="left"/>
      </w:pPr>
      <w:r>
        <w:rPr>
          <w:rFonts w:ascii="Calibri" w:hAnsi="Calibri" w:eastAsia="Calibri" w:cs="Calibri"/>
          <w:color w:val="000000"/>
          <w:sz w:val="22"/>
          <w:szCs w:val="22"/>
        </w:rPr>
        <w:t xml:space="preserve">Gonzalez-Pacheco BE &amp; Silva-Rosalez L (2013) First report of </w:t>
      </w:r>
      <w:r>
        <w:rPr>
          <w:rFonts w:ascii="Calibri" w:hAnsi="Calibri" w:eastAsia="Calibri" w:cs="Calibri"/>
          <w:i/>
          <w:iCs/>
          <w:color w:val="000000"/>
          <w:sz w:val="22"/>
          <w:szCs w:val="22"/>
        </w:rPr>
        <w:t xml:space="preserve">Impatiens necrotic spot virus</w:t>
      </w:r>
      <w:r>
        <w:rPr>
          <w:rFonts w:ascii="Calibri" w:hAnsi="Calibri" w:eastAsia="Calibri" w:cs="Calibri"/>
          <w:color w:val="000000"/>
          <w:sz w:val="22"/>
          <w:szCs w:val="22"/>
        </w:rPr>
        <w:t xml:space="preserve"> in Mexico on tomatillo and pepper plants.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(8), 1124.</w:t>
      </w:r>
    </w:p>
    <w:p>
      <w:pPr>
        <w:widowControl w:val="on"/>
        <w:pBdr/>
        <w:spacing w:before="220" w:after="220" w:line="240" w:lineRule="auto"/>
        <w:ind w:left="0" w:right="0"/>
        <w:jc w:val="left"/>
      </w:pPr>
      <w:r>
        <w:rPr>
          <w:rFonts w:ascii="Calibri" w:hAnsi="Calibri" w:eastAsia="Calibri" w:cs="Calibri"/>
          <w:color w:val="000000"/>
          <w:sz w:val="22"/>
          <w:szCs w:val="22"/>
        </w:rPr>
        <w:t xml:space="preserve">Groves C, German T, Dasgupta R, Mueller D &amp; Smith DL (2016) Seed transmission of </w:t>
      </w:r>
      <w:r>
        <w:rPr>
          <w:rFonts w:ascii="Calibri" w:hAnsi="Calibri" w:eastAsia="Calibri" w:cs="Calibri"/>
          <w:i/>
          <w:iCs/>
          <w:color w:val="000000"/>
          <w:sz w:val="22"/>
          <w:szCs w:val="22"/>
        </w:rPr>
        <w:t xml:space="preserve">Soybean vein necrosis virus</w:t>
      </w:r>
      <w:r>
        <w:rPr>
          <w:rFonts w:ascii="Calibri" w:hAnsi="Calibri" w:eastAsia="Calibri" w:cs="Calibri"/>
          <w:color w:val="000000"/>
          <w:sz w:val="22"/>
          <w:szCs w:val="22"/>
        </w:rPr>
        <w:t xml:space="preserve">: The first Tospovirus implicated in seed transmission.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(1), e0147342. </w:t>
      </w:r>
      <w:hyperlink r:id="rId1122664b39f4c4265" w:history="1">
        <w:r>
          <w:rPr>
            <w:rFonts w:ascii="Calibri" w:hAnsi="Calibri" w:eastAsia="Calibri" w:cs="Calibri"/>
            <w:color w:val="0000CC"/>
            <w:sz w:val="22"/>
            <w:szCs w:val="22"/>
            <w:u w:val="single"/>
          </w:rPr>
          <w:t xml:space="preserve">https://doi.org/10.1371/journal.pone.0147342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Hasegawa DK, Hladky LJ, Wintermantel WM, Putman AI, Dr. Barman AK, Slinski S, Palumbo J &amp; Poudel B (2022) First report of </w:t>
      </w:r>
      <w:r>
        <w:rPr>
          <w:rFonts w:ascii="Calibri" w:hAnsi="Calibri" w:eastAsia="Calibri" w:cs="Calibri"/>
          <w:i/>
          <w:iCs/>
          <w:color w:val="000000"/>
          <w:sz w:val="22"/>
          <w:szCs w:val="22"/>
        </w:rPr>
        <w:t xml:space="preserve">impatiens necrotic npot virus</w:t>
      </w:r>
      <w:r>
        <w:rPr>
          <w:rFonts w:ascii="Calibri" w:hAnsi="Calibri" w:eastAsia="Calibri" w:cs="Calibri"/>
          <w:color w:val="000000"/>
          <w:sz w:val="22"/>
          <w:szCs w:val="22"/>
        </w:rPr>
        <w:t xml:space="preserve"> infecting lettuce in Arizona and Southern desert regions of California.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(8). </w:t>
      </w:r>
      <w:hyperlink r:id="rId3264664b39f4c4323" w:history="1">
        <w:r>
          <w:rPr>
            <w:rFonts w:ascii="Calibri" w:hAnsi="Calibri" w:eastAsia="Calibri" w:cs="Calibri"/>
            <w:color w:val="0000CC"/>
            <w:sz w:val="22"/>
            <w:szCs w:val="22"/>
            <w:u w:val="single"/>
          </w:rPr>
          <w:t xml:space="preserve">https://doi.org/10.1094/PDIS-09-21-2118-PDN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Jones DR (2005) Plant viruses transmitted by thrips.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113</w:t>
      </w:r>
      <w:r>
        <w:rPr>
          <w:rFonts w:ascii="Calibri" w:hAnsi="Calibri" w:eastAsia="Calibri" w:cs="Calibri"/>
          <w:color w:val="000000"/>
          <w:sz w:val="22"/>
          <w:szCs w:val="22"/>
        </w:rPr>
        <w:t xml:space="preserve">, 119–157.</w:t>
      </w:r>
    </w:p>
    <w:p>
      <w:pPr>
        <w:widowControl w:val="on"/>
        <w:pBdr/>
        <w:spacing w:before="220" w:after="220" w:line="240" w:lineRule="auto"/>
        <w:ind w:left="0" w:right="0"/>
        <w:jc w:val="left"/>
      </w:pPr>
      <w:r>
        <w:rPr>
          <w:rFonts w:ascii="Calibri" w:hAnsi="Calibri" w:eastAsia="Calibri" w:cs="Calibri"/>
          <w:color w:val="000000"/>
          <w:sz w:val="22"/>
          <w:szCs w:val="22"/>
        </w:rPr>
        <w:t xml:space="preserve">Joseph SV &amp; Koike ST (2021) Could broccoli and cauliflower influence the dispersal dynamics of Western flower thrips (Thysanoptera: Thripidae) to lettuce in the Salinas Valley of California?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(4) 995–1005.</w:t>
      </w:r>
    </w:p>
    <w:p>
      <w:pPr>
        <w:widowControl w:val="on"/>
        <w:pBdr/>
        <w:spacing w:before="220" w:after="220" w:line="240" w:lineRule="auto"/>
        <w:ind w:left="0" w:right="0"/>
        <w:jc w:val="left"/>
      </w:pPr>
      <w:r>
        <w:rPr>
          <w:rFonts w:ascii="Calibri" w:hAnsi="Calibri" w:eastAsia="Calibri" w:cs="Calibri"/>
          <w:color w:val="000000"/>
          <w:sz w:val="22"/>
          <w:szCs w:val="22"/>
        </w:rPr>
        <w:t xml:space="preserve">Kirk WDJ &amp; Terry LI (2003) The spread of the western flower thrips </w:t>
      </w:r>
      <w:r>
        <w:rPr>
          <w:rFonts w:ascii="Calibri" w:hAnsi="Calibri" w:eastAsia="Calibri" w:cs="Calibri"/>
          <w:i/>
          <w:iCs/>
          <w:color w:val="000000"/>
          <w:sz w:val="22"/>
          <w:szCs w:val="22"/>
        </w:rPr>
        <w:t xml:space="preserve">Frankliniella occidentalis</w:t>
      </w:r>
      <w:r>
        <w:rPr>
          <w:rFonts w:ascii="Calibri" w:hAnsi="Calibri" w:eastAsia="Calibri" w:cs="Calibri"/>
          <w:color w:val="000000"/>
          <w:sz w:val="22"/>
          <w:szCs w:val="22"/>
        </w:rPr>
        <w:t xml:space="preserve"> (Pergande). </w:t>
      </w:r>
      <w:r>
        <w:rPr>
          <w:rFonts w:ascii="Calibri" w:hAnsi="Calibri" w:eastAsia="Calibri" w:cs="Calibri"/>
          <w:i/>
          <w:iCs/>
          <w:color w:val="000000"/>
          <w:sz w:val="22"/>
          <w:szCs w:val="22"/>
        </w:rPr>
        <w:t xml:space="preserve">Agricultural and Forest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301–310.</w:t>
      </w:r>
    </w:p>
    <w:p>
      <w:pPr>
        <w:widowControl w:val="on"/>
        <w:pBdr/>
        <w:spacing w:before="220" w:after="220" w:line="240" w:lineRule="auto"/>
        <w:ind w:left="0" w:right="0"/>
        <w:jc w:val="left"/>
      </w:pPr>
      <w:r>
        <w:rPr>
          <w:rFonts w:ascii="Calibri" w:hAnsi="Calibri" w:eastAsia="Calibri" w:cs="Calibri"/>
          <w:color w:val="000000"/>
          <w:sz w:val="22"/>
          <w:szCs w:val="22"/>
        </w:rPr>
        <w:t xml:space="preserve">Koike ST, Kuo Y-W, Rojas MR &amp; Gilbertson RL (2008) First report of </w:t>
      </w:r>
      <w:r>
        <w:rPr>
          <w:rFonts w:ascii="Calibri" w:hAnsi="Calibri" w:eastAsia="Calibri" w:cs="Calibri"/>
          <w:i/>
          <w:iCs/>
          <w:color w:val="000000"/>
          <w:sz w:val="22"/>
          <w:szCs w:val="22"/>
        </w:rPr>
        <w:t xml:space="preserve">Impatiens necrotic spot virus i</w:t>
      </w:r>
      <w:r>
        <w:rPr>
          <w:rFonts w:ascii="Calibri" w:hAnsi="Calibri" w:eastAsia="Calibri" w:cs="Calibri"/>
          <w:color w:val="000000"/>
          <w:sz w:val="22"/>
          <w:szCs w:val="22"/>
        </w:rPr>
        <w:t xml:space="preserve">nfecting lettuce in California.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(8), 1248.</w:t>
      </w:r>
    </w:p>
    <w:p>
      <w:pPr>
        <w:widowControl w:val="on"/>
        <w:pBdr/>
        <w:spacing w:before="220" w:after="220" w:line="240" w:lineRule="auto"/>
        <w:ind w:left="0" w:right="0"/>
        <w:jc w:val="left"/>
      </w:pPr>
      <w:r>
        <w:rPr>
          <w:rFonts w:ascii="Calibri" w:hAnsi="Calibri" w:eastAsia="Calibri" w:cs="Calibri"/>
          <w:color w:val="000000"/>
          <w:sz w:val="22"/>
          <w:szCs w:val="22"/>
        </w:rPr>
        <w:t xml:space="preserve">Kondo T, Yamashita K &amp; Sugiyama S (2011) First report of </w:t>
      </w:r>
      <w:r>
        <w:rPr>
          <w:rFonts w:ascii="Calibri" w:hAnsi="Calibri" w:eastAsia="Calibri" w:cs="Calibri"/>
          <w:i/>
          <w:iCs/>
          <w:color w:val="000000"/>
          <w:sz w:val="22"/>
          <w:szCs w:val="22"/>
        </w:rPr>
        <w:t xml:space="preserve">Impatiens necrotic spot virus</w:t>
      </w:r>
      <w:r>
        <w:rPr>
          <w:rFonts w:ascii="Calibri" w:hAnsi="Calibri" w:eastAsia="Calibri" w:cs="Calibri"/>
          <w:color w:val="000000"/>
          <w:sz w:val="22"/>
          <w:szCs w:val="22"/>
        </w:rPr>
        <w:t xml:space="preserve"> infecting chrysanthemum (</w:t>
      </w:r>
      <w:r>
        <w:rPr>
          <w:rFonts w:ascii="Calibri" w:hAnsi="Calibri" w:eastAsia="Calibri" w:cs="Calibri"/>
          <w:i/>
          <w:iCs/>
          <w:color w:val="000000"/>
          <w:sz w:val="22"/>
          <w:szCs w:val="22"/>
        </w:rPr>
        <w:t xml:space="preserve">Chrysanthemum morifolium</w:t>
      </w:r>
      <w:r>
        <w:rPr>
          <w:rFonts w:ascii="Calibri" w:hAnsi="Calibri" w:eastAsia="Calibri" w:cs="Calibri"/>
          <w:color w:val="000000"/>
          <w:sz w:val="22"/>
          <w:szCs w:val="22"/>
        </w:rPr>
        <w:t xml:space="preserve">) in Japan. </w:t>
      </w:r>
      <w:r>
        <w:rPr>
          <w:rFonts w:ascii="Calibri" w:hAnsi="Calibri" w:eastAsia="Calibri" w:cs="Calibri"/>
          <w:i/>
          <w:iCs/>
          <w:color w:val="000000"/>
          <w:sz w:val="22"/>
          <w:szCs w:val="22"/>
        </w:rPr>
        <w:t xml:space="preserve">Journal of General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263–265.</w:t>
      </w:r>
    </w:p>
    <w:p>
      <w:pPr>
        <w:widowControl w:val="on"/>
        <w:pBdr/>
        <w:spacing w:before="220" w:after="220" w:line="240" w:lineRule="auto"/>
        <w:ind w:left="0" w:right="0"/>
        <w:jc w:val="left"/>
      </w:pPr>
      <w:r>
        <w:rPr>
          <w:rFonts w:ascii="Calibri" w:hAnsi="Calibri" w:eastAsia="Calibri" w:cs="Calibri"/>
          <w:color w:val="000000"/>
          <w:sz w:val="22"/>
          <w:szCs w:val="22"/>
        </w:rPr>
        <w:t xml:space="preserve">Kormelink R, Verchot J, Tao X &amp; Desbiez C (2021) The Bunyavirales: the plant-infecting counterparts. </w:t>
      </w:r>
      <w:r>
        <w:rPr>
          <w:rFonts w:ascii="Calibri" w:hAnsi="Calibri" w:eastAsia="Calibri" w:cs="Calibri"/>
          <w:i/>
          <w:iCs/>
          <w:color w:val="000000"/>
          <w:sz w:val="22"/>
          <w:szCs w:val="22"/>
        </w:rPr>
        <w:t xml:space="preserve">Viruses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842, </w:t>
      </w:r>
      <w:hyperlink r:id="rId8861664b39f4c45e2" w:history="1">
        <w:r>
          <w:rPr>
            <w:rFonts w:ascii="Calibri" w:hAnsi="Calibri" w:eastAsia="Calibri" w:cs="Calibri"/>
            <w:color w:val="0000CC"/>
            <w:sz w:val="22"/>
            <w:szCs w:val="22"/>
            <w:u w:val="single"/>
          </w:rPr>
          <w:t xml:space="preserve">https://doi.org/10.3390/v13050842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Kuo Y-W, Gilbertson RL, Turini T, Brennan EB, Smith RF &amp; Koike ST (2014) Characterization and epidemiology of outbreaks of </w:t>
      </w:r>
      <w:r>
        <w:rPr>
          <w:rFonts w:ascii="Calibri" w:hAnsi="Calibri" w:eastAsia="Calibri" w:cs="Calibri"/>
          <w:i/>
          <w:iCs/>
          <w:color w:val="000000"/>
          <w:sz w:val="22"/>
          <w:szCs w:val="22"/>
        </w:rPr>
        <w:t xml:space="preserve">Impatiens necrotic spot virus</w:t>
      </w:r>
      <w:r>
        <w:rPr>
          <w:rFonts w:ascii="Calibri" w:hAnsi="Calibri" w:eastAsia="Calibri" w:cs="Calibri"/>
          <w:color w:val="000000"/>
          <w:sz w:val="22"/>
          <w:szCs w:val="22"/>
        </w:rPr>
        <w:t xml:space="preserve"> on lettuce in coastal California.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(8), 1050-1059.</w:t>
      </w:r>
    </w:p>
    <w:p>
      <w:pPr>
        <w:widowControl w:val="on"/>
        <w:pBdr/>
        <w:spacing w:before="220" w:after="220" w:line="240" w:lineRule="auto"/>
        <w:ind w:left="0" w:right="0"/>
        <w:jc w:val="left"/>
      </w:pPr>
      <w:r>
        <w:rPr>
          <w:rFonts w:ascii="Calibri" w:hAnsi="Calibri" w:eastAsia="Calibri" w:cs="Calibri"/>
          <w:color w:val="000000"/>
          <w:sz w:val="22"/>
          <w:szCs w:val="22"/>
        </w:rPr>
        <w:t xml:space="preserve">Law MD, Moyer JW (1990) A tomato spotted wilt-like virus with a serologically distinct N protein.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933–938. </w:t>
      </w:r>
    </w:p>
    <w:p>
      <w:pPr>
        <w:widowControl w:val="on"/>
        <w:pBdr/>
        <w:spacing w:before="220" w:after="220" w:line="240" w:lineRule="auto"/>
        <w:ind w:left="0" w:right="0"/>
        <w:jc w:val="left"/>
      </w:pPr>
      <w:r>
        <w:rPr>
          <w:rFonts w:ascii="Calibri" w:hAnsi="Calibri" w:eastAsia="Calibri" w:cs="Calibri"/>
          <w:color w:val="000000"/>
          <w:sz w:val="22"/>
          <w:szCs w:val="22"/>
        </w:rPr>
        <w:t xml:space="preserve">Law MD, Speck J, Moyer JW (1991) Nucleotide sequence of the 30 non-coding region and N gene of the S RNA of a serologically distinct tospovirus.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2597–2601.</w:t>
      </w:r>
    </w:p>
    <w:p>
      <w:pPr>
        <w:widowControl w:val="on"/>
        <w:pBdr/>
        <w:spacing w:before="220" w:after="220" w:line="240" w:lineRule="auto"/>
        <w:ind w:left="0" w:right="0"/>
        <w:jc w:val="left"/>
      </w:pPr>
      <w:r>
        <w:rPr>
          <w:rFonts w:ascii="Calibri" w:hAnsi="Calibri" w:eastAsia="Calibri" w:cs="Calibri"/>
          <w:color w:val="000000"/>
          <w:sz w:val="22"/>
          <w:szCs w:val="22"/>
        </w:rPr>
        <w:t xml:space="preserve">Lebas BSM &amp; Ochoa-Corona FM (2007) </w:t>
      </w:r>
      <w:r>
        <w:rPr>
          <w:rFonts w:ascii="Calibri" w:hAnsi="Calibri" w:eastAsia="Calibri" w:cs="Calibri"/>
          <w:i/>
          <w:iCs/>
          <w:color w:val="000000"/>
          <w:sz w:val="22"/>
          <w:szCs w:val="22"/>
        </w:rPr>
        <w:t xml:space="preserve">Impatiens necrotic spot virus</w:t>
      </w:r>
      <w:r>
        <w:rPr>
          <w:rFonts w:ascii="Calibri" w:hAnsi="Calibri" w:eastAsia="Calibri" w:cs="Calibri"/>
          <w:color w:val="000000"/>
          <w:sz w:val="22"/>
          <w:szCs w:val="22"/>
        </w:rPr>
        <w:t xml:space="preserve">. In: Rao GP, Bragard C &amp; Lebas BSM (editors) Characterisation, Diagnosis &amp; Management of Plant Viruses; Vol 4: Grain Crops &amp; Ornamentals. Studium Press LLC, Texas, USA, 221-243. </w:t>
      </w:r>
    </w:p>
    <w:p>
      <w:pPr>
        <w:widowControl w:val="on"/>
        <w:pBdr/>
        <w:spacing w:before="220" w:after="220" w:line="240" w:lineRule="auto"/>
        <w:ind w:left="0" w:right="0"/>
        <w:jc w:val="left"/>
      </w:pPr>
      <w:r>
        <w:rPr>
          <w:rFonts w:ascii="Calibri" w:hAnsi="Calibri" w:eastAsia="Calibri" w:cs="Calibri"/>
          <w:color w:val="000000"/>
          <w:sz w:val="22"/>
          <w:szCs w:val="22"/>
        </w:rPr>
        <w:t xml:space="preserve">Materazzi A &amp; Triolo E (2001) </w:t>
      </w:r>
      <w:r>
        <w:rPr>
          <w:rFonts w:ascii="Calibri" w:hAnsi="Calibri" w:eastAsia="Calibri" w:cs="Calibri"/>
          <w:i/>
          <w:iCs/>
          <w:color w:val="000000"/>
          <w:sz w:val="22"/>
          <w:szCs w:val="22"/>
        </w:rPr>
        <w:t xml:space="preserve">Spathiphyllum </w:t>
      </w:r>
      <w:r>
        <w:rPr>
          <w:rFonts w:ascii="Calibri" w:hAnsi="Calibri" w:eastAsia="Calibri" w:cs="Calibri"/>
          <w:color w:val="000000"/>
          <w:sz w:val="22"/>
          <w:szCs w:val="22"/>
        </w:rPr>
        <w:t xml:space="preserve">sp.: a new natural host of impatiens necrotic spot virus. </w:t>
      </w:r>
      <w:r>
        <w:rPr>
          <w:rFonts w:ascii="Calibri" w:hAnsi="Calibri" w:eastAsia="Calibri" w:cs="Calibri"/>
          <w:i/>
          <w:iCs/>
          <w:color w:val="000000"/>
          <w:sz w:val="22"/>
          <w:szCs w:val="22"/>
        </w:rPr>
        <w:t xml:space="preserve">Plant Disease</w:t>
      </w:r>
      <w:r>
        <w:rPr>
          <w:rFonts w:ascii="Calibri" w:hAnsi="Calibri" w:eastAsia="Calibri" w:cs="Calibri"/>
          <w:b/>
          <w:bCs/>
          <w:i/>
          <w:iCs/>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(4), 448. </w:t>
      </w:r>
      <w:hyperlink r:id="rId1996664b39f4c4820" w:history="1">
        <w:r>
          <w:rPr>
            <w:rFonts w:ascii="Calibri" w:hAnsi="Calibri" w:eastAsia="Calibri" w:cs="Calibri"/>
            <w:color w:val="0000CC"/>
            <w:sz w:val="22"/>
            <w:szCs w:val="22"/>
            <w:u w:val="single"/>
          </w:rPr>
          <w:t xml:space="preserve">https://apsjournals.apsnet.org/doi/abs/10.1094/PDIS.2001.85.4.448B</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Messelink GJ, Maanen R, van Steenpaal SEF &amp; Janssen A (2008) Biological control of thrips and whiteflies by a shared predator: two pests are better than one. </w:t>
      </w:r>
      <w:r>
        <w:rPr>
          <w:rFonts w:ascii="Calibri" w:hAnsi="Calibri" w:eastAsia="Calibri" w:cs="Calibri"/>
          <w:i/>
          <w:iCs/>
          <w:color w:val="000000"/>
          <w:sz w:val="22"/>
          <w:szCs w:val="22"/>
        </w:rPr>
        <w:t xml:space="preserve">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372–379.</w:t>
      </w:r>
    </w:p>
    <w:p>
      <w:pPr>
        <w:widowControl w:val="on"/>
        <w:pBdr/>
        <w:spacing w:before="220" w:after="220" w:line="240" w:lineRule="auto"/>
        <w:ind w:left="0" w:right="0"/>
        <w:jc w:val="left"/>
      </w:pPr>
      <w:r>
        <w:rPr>
          <w:rFonts w:ascii="Calibri" w:hAnsi="Calibri" w:eastAsia="Calibri" w:cs="Calibri"/>
          <w:color w:val="000000"/>
          <w:sz w:val="22"/>
          <w:szCs w:val="22"/>
        </w:rPr>
        <w:t xml:space="preserve">Mound LA (1983) Natural and disrupted patterns of geographical distribution in Thysanoptera (Insecta). </w:t>
      </w:r>
      <w:r>
        <w:rPr>
          <w:rFonts w:ascii="Calibri" w:hAnsi="Calibri" w:eastAsia="Calibri" w:cs="Calibri"/>
          <w:i/>
          <w:iCs/>
          <w:color w:val="000000"/>
          <w:sz w:val="22"/>
          <w:szCs w:val="22"/>
        </w:rPr>
        <w:t xml:space="preserve">Journal of Biogeography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(2), 119–133.</w:t>
      </w:r>
    </w:p>
    <w:p>
      <w:pPr>
        <w:widowControl w:val="on"/>
        <w:pBdr/>
        <w:spacing w:before="220" w:after="220" w:line="240" w:lineRule="auto"/>
        <w:ind w:left="0" w:right="0"/>
        <w:jc w:val="left"/>
      </w:pPr>
      <w:r>
        <w:rPr>
          <w:rFonts w:ascii="Calibri" w:hAnsi="Calibri" w:eastAsia="Calibri" w:cs="Calibri"/>
          <w:color w:val="000000"/>
          <w:sz w:val="22"/>
          <w:szCs w:val="22"/>
        </w:rPr>
        <w:t xml:space="preserve">Naidu RA, Deom CM &amp; Sherwood JL (2001) First report of F</w:t>
      </w:r>
      <w:r>
        <w:rPr>
          <w:rFonts w:ascii="Calibri" w:hAnsi="Calibri" w:eastAsia="Calibri" w:cs="Calibri"/>
          <w:i/>
          <w:iCs/>
          <w:color w:val="000000"/>
          <w:sz w:val="22"/>
          <w:szCs w:val="22"/>
        </w:rPr>
        <w:t xml:space="preserve">rankliniella fusca</w:t>
      </w:r>
      <w:r>
        <w:rPr>
          <w:rFonts w:ascii="Calibri" w:hAnsi="Calibri" w:eastAsia="Calibri" w:cs="Calibri"/>
          <w:color w:val="000000"/>
          <w:sz w:val="22"/>
          <w:szCs w:val="22"/>
        </w:rPr>
        <w:t xml:space="preserve"> as a vector of </w:t>
      </w:r>
      <w:r>
        <w:rPr>
          <w:rFonts w:ascii="Calibri" w:hAnsi="Calibri" w:eastAsia="Calibri" w:cs="Calibri"/>
          <w:i/>
          <w:iCs/>
          <w:color w:val="000000"/>
          <w:sz w:val="22"/>
          <w:szCs w:val="22"/>
        </w:rPr>
        <w:t xml:space="preserve">Impatiens necrotic spot tospovirus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(11), 1211.</w:t>
      </w:r>
    </w:p>
    <w:p>
      <w:pPr>
        <w:widowControl w:val="on"/>
        <w:pBdr/>
        <w:spacing w:before="220" w:after="220" w:line="240" w:lineRule="auto"/>
        <w:ind w:left="0" w:right="0"/>
        <w:jc w:val="left"/>
      </w:pPr>
      <w:r>
        <w:rPr>
          <w:rFonts w:ascii="Calibri" w:hAnsi="Calibri" w:eastAsia="Calibri" w:cs="Calibri"/>
          <w:color w:val="000000"/>
          <w:sz w:val="22"/>
          <w:szCs w:val="22"/>
        </w:rPr>
        <w:t xml:space="preserve">Nekoduka S &amp; Sano T (2018) Symptom development, in planta distribution, and transmission of </w:t>
      </w:r>
      <w:r>
        <w:rPr>
          <w:rFonts w:ascii="Calibri" w:hAnsi="Calibri" w:eastAsia="Calibri" w:cs="Calibri"/>
          <w:i/>
          <w:iCs/>
          <w:color w:val="000000"/>
          <w:sz w:val="22"/>
          <w:szCs w:val="22"/>
        </w:rPr>
        <w:t xml:space="preserve">Impatiens necrotic spot virus</w:t>
      </w:r>
      <w:r>
        <w:rPr>
          <w:rFonts w:ascii="Calibri" w:hAnsi="Calibri" w:eastAsia="Calibri" w:cs="Calibri"/>
          <w:color w:val="000000"/>
          <w:sz w:val="22"/>
          <w:szCs w:val="22"/>
        </w:rPr>
        <w:t xml:space="preserve"> in gentian: evidence for survival in roots and winter buds. </w:t>
      </w:r>
      <w:r>
        <w:rPr>
          <w:rFonts w:ascii="Calibri" w:hAnsi="Calibri" w:eastAsia="Calibri" w:cs="Calibri"/>
          <w:i/>
          <w:iCs/>
          <w:color w:val="000000"/>
          <w:sz w:val="22"/>
          <w:szCs w:val="22"/>
        </w:rPr>
        <w:t xml:space="preserve">Journal of General Plant Pathol</w:t>
      </w:r>
      <w:r>
        <w:rPr>
          <w:rFonts w:ascii="Calibri" w:hAnsi="Calibri" w:eastAsia="Calibri" w:cs="Calibri"/>
          <w:color w:val="000000"/>
          <w:sz w:val="22"/>
          <w:szCs w:val="22"/>
        </w:rPr>
        <w:t xml:space="preserve">ogy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279–283.</w:t>
      </w:r>
    </w:p>
    <w:p>
      <w:pPr>
        <w:widowControl w:val="on"/>
        <w:pBdr/>
        <w:spacing w:before="220" w:after="220" w:line="240" w:lineRule="auto"/>
        <w:ind w:left="0" w:right="0"/>
        <w:jc w:val="left"/>
      </w:pPr>
      <w:r>
        <w:rPr>
          <w:rFonts w:ascii="Calibri" w:hAnsi="Calibri" w:eastAsia="Calibri" w:cs="Calibri"/>
          <w:color w:val="000000"/>
          <w:sz w:val="22"/>
          <w:szCs w:val="22"/>
        </w:rPr>
        <w:t xml:space="preserve">Nekoduka S, Kobayashi K, Fuji S-I, Okuda M &amp; Sano T (2015) Molecular epidemiology of </w:t>
      </w:r>
      <w:r>
        <w:rPr>
          <w:rFonts w:ascii="Calibri" w:hAnsi="Calibri" w:eastAsia="Calibri" w:cs="Calibri"/>
          <w:i/>
          <w:iCs/>
          <w:color w:val="000000"/>
          <w:sz w:val="22"/>
          <w:szCs w:val="22"/>
        </w:rPr>
        <w:t xml:space="preserve">Impatiens necrotic spot virus</w:t>
      </w:r>
      <w:r>
        <w:rPr>
          <w:rFonts w:ascii="Calibri" w:hAnsi="Calibri" w:eastAsia="Calibri" w:cs="Calibri"/>
          <w:color w:val="000000"/>
          <w:sz w:val="22"/>
          <w:szCs w:val="22"/>
        </w:rPr>
        <w:t xml:space="preserve"> on greenhouse ornamental plants in a local area of Japan. </w:t>
      </w:r>
      <w:r>
        <w:rPr>
          <w:rFonts w:ascii="Calibri" w:hAnsi="Calibri" w:eastAsia="Calibri" w:cs="Calibri"/>
          <w:i/>
          <w:iCs/>
          <w:color w:val="000000"/>
          <w:sz w:val="22"/>
          <w:szCs w:val="22"/>
        </w:rPr>
        <w:t xml:space="preserve">Journal of General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429–438.</w:t>
      </w:r>
    </w:p>
    <w:p>
      <w:pPr>
        <w:widowControl w:val="on"/>
        <w:pBdr/>
        <w:spacing w:before="220" w:after="220" w:line="240" w:lineRule="auto"/>
        <w:ind w:left="0" w:right="0"/>
        <w:jc w:val="left"/>
      </w:pPr>
      <w:r>
        <w:rPr>
          <w:rFonts w:ascii="Calibri" w:hAnsi="Calibri" w:eastAsia="Calibri" w:cs="Calibri"/>
          <w:color w:val="000000"/>
          <w:sz w:val="22"/>
          <w:szCs w:val="22"/>
        </w:rPr>
        <w:t xml:space="preserve">Okuda M, Fuji S, Okuda S, Sako K &amp; Iwanami T (2010) Evaluation of the potential of thirty two weed species as infection sources of </w:t>
      </w:r>
      <w:r>
        <w:rPr>
          <w:rFonts w:ascii="Calibri" w:hAnsi="Calibri" w:eastAsia="Calibri" w:cs="Calibri"/>
          <w:i/>
          <w:iCs/>
          <w:color w:val="000000"/>
          <w:sz w:val="22"/>
          <w:szCs w:val="22"/>
        </w:rPr>
        <w:t xml:space="preserve">Impatiens necrotic spot 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(2), 357–361. </w:t>
      </w:r>
    </w:p>
    <w:p>
      <w:pPr>
        <w:widowControl w:val="on"/>
        <w:pBdr/>
        <w:spacing w:before="220" w:after="220" w:line="240" w:lineRule="auto"/>
        <w:ind w:left="0" w:right="0"/>
        <w:jc w:val="left"/>
      </w:pPr>
      <w:r>
        <w:rPr>
          <w:rFonts w:ascii="Calibri" w:hAnsi="Calibri" w:eastAsia="Calibri" w:cs="Calibri"/>
          <w:color w:val="000000"/>
          <w:sz w:val="22"/>
          <w:szCs w:val="22"/>
        </w:rPr>
        <w:t xml:space="preserve">Pappu HR, Jones RAC &amp; Jain RK (2009) Global status of tospovirus epidemics in diverse cropping systems: successes achieved and challenges ahead. </w:t>
      </w:r>
      <w:r>
        <w:rPr>
          <w:rFonts w:ascii="Calibri" w:hAnsi="Calibri" w:eastAsia="Calibri" w:cs="Calibri"/>
          <w:i/>
          <w:iCs/>
          <w:color w:val="000000"/>
          <w:sz w:val="22"/>
          <w:szCs w:val="22"/>
        </w:rPr>
        <w:t xml:space="preserve">Virus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141</w:t>
      </w:r>
      <w:r>
        <w:rPr>
          <w:rFonts w:ascii="Calibri" w:hAnsi="Calibri" w:eastAsia="Calibri" w:cs="Calibri"/>
          <w:color w:val="000000"/>
          <w:sz w:val="22"/>
          <w:szCs w:val="22"/>
        </w:rPr>
        <w:t xml:space="preserve">, 219–236.</w:t>
      </w:r>
    </w:p>
    <w:p>
      <w:pPr>
        <w:widowControl w:val="on"/>
        <w:pBdr/>
        <w:spacing w:before="220" w:after="220" w:line="240" w:lineRule="auto"/>
        <w:ind w:left="0" w:right="0"/>
        <w:jc w:val="left"/>
      </w:pPr>
      <w:r>
        <w:rPr>
          <w:rFonts w:ascii="Calibri" w:hAnsi="Calibri" w:eastAsia="Calibri" w:cs="Calibri"/>
          <w:color w:val="000000"/>
          <w:sz w:val="22"/>
          <w:szCs w:val="22"/>
        </w:rPr>
        <w:t xml:space="preserve">Peng J-C, Chen T-C, Raja JAJ, Yang C-F, Chien W-C, Lin C-H, Liu F-L, Wu H-W &amp; Yeh S-D (2014) Broad-spectrum transgenic resistance against distinct Tospovirus species at the genus level.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(5), e96073. </w:t>
      </w:r>
      <w:hyperlink r:id="rId1029664b39f4c4bc2" w:history="1">
        <w:r>
          <w:rPr>
            <w:rFonts w:ascii="Calibri" w:hAnsi="Calibri" w:eastAsia="Calibri" w:cs="Calibri"/>
            <w:color w:val="0000CC"/>
            <w:sz w:val="22"/>
            <w:szCs w:val="22"/>
            <w:u w:val="single"/>
          </w:rPr>
          <w:t xml:space="preserve">https://doi.org/10.1371/journal.pone.0096073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Perry KL, Miller L &amp; Williams L (2005) </w:t>
      </w:r>
      <w:r>
        <w:rPr>
          <w:rFonts w:ascii="Calibri" w:hAnsi="Calibri" w:eastAsia="Calibri" w:cs="Calibri"/>
          <w:i/>
          <w:iCs/>
          <w:color w:val="000000"/>
          <w:sz w:val="22"/>
          <w:szCs w:val="22"/>
        </w:rPr>
        <w:t xml:space="preserve">Impatiens necrotic spot virus</w:t>
      </w:r>
      <w:r>
        <w:rPr>
          <w:rFonts w:ascii="Calibri" w:hAnsi="Calibri" w:eastAsia="Calibri" w:cs="Calibri"/>
          <w:color w:val="000000"/>
          <w:sz w:val="22"/>
          <w:szCs w:val="22"/>
        </w:rPr>
        <w:t xml:space="preserve"> in greenhouse-grown potatoes in New York State.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(3), 340.</w:t>
      </w:r>
    </w:p>
    <w:p>
      <w:pPr>
        <w:widowControl w:val="on"/>
        <w:pBdr/>
        <w:spacing w:before="220" w:after="220" w:line="240" w:lineRule="auto"/>
        <w:ind w:left="0" w:right="0"/>
        <w:jc w:val="left"/>
      </w:pPr>
      <w:r>
        <w:rPr>
          <w:rFonts w:ascii="Calibri" w:hAnsi="Calibri" w:eastAsia="Calibri" w:cs="Calibri"/>
          <w:color w:val="000000"/>
          <w:sz w:val="22"/>
          <w:szCs w:val="22"/>
        </w:rPr>
        <w:t xml:space="preserve">Picard C, Afonso T, Benko-Beloglavec A, Karadjova O, Matthews-Berry S, Paunovic SA, Pietsch M, Reed P, van der Gaag DJ &amp; Ward M (2018) Recommended regulated non-quarantine pests (RNQPs), associated thresholds and risk management measures in the European and Mediterranean region.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552-558.</w:t>
      </w:r>
    </w:p>
    <w:p>
      <w:pPr>
        <w:widowControl w:val="on"/>
        <w:pBdr/>
        <w:spacing w:before="220" w:after="220" w:line="240" w:lineRule="auto"/>
        <w:ind w:left="0" w:right="0"/>
        <w:jc w:val="left"/>
      </w:pPr>
      <w:r>
        <w:rPr>
          <w:rFonts w:ascii="Calibri" w:hAnsi="Calibri" w:eastAsia="Calibri" w:cs="Calibri"/>
          <w:color w:val="000000"/>
          <w:sz w:val="22"/>
          <w:szCs w:val="22"/>
        </w:rPr>
        <w:t xml:space="preserve">Plyusnin AMQ, Beaty BJ, Elliott RM, Goldbach R, Kormelink R, Lundkvist A, Schmaljohn CS &amp; Tesh RB (2011) Bunyaviridae. In: </w:t>
      </w:r>
      <w:r>
        <w:rPr>
          <w:rFonts w:ascii="Calibri" w:hAnsi="Calibri" w:eastAsia="Calibri" w:cs="Calibri"/>
          <w:i/>
          <w:iCs/>
          <w:color w:val="000000"/>
          <w:sz w:val="22"/>
          <w:szCs w:val="22"/>
        </w:rPr>
        <w:t xml:space="preserve">Virus taxonomy, ninth report of the International Committee on Taxonomy of Viruses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Elsevier Academic Press</w:t>
      </w:r>
      <w:r>
        <w:rPr>
          <w:rFonts w:ascii="Calibri" w:hAnsi="Calibri" w:eastAsia="Calibri" w:cs="Calibri"/>
          <w:color w:val="000000"/>
          <w:sz w:val="22"/>
          <w:szCs w:val="22"/>
        </w:rPr>
        <w:t xml:space="preserve"> (Eds.: King MJA, Adams MJ, Carstens EB &amp; Lefkowitz EJ) London, UK, 725–741.</w:t>
      </w:r>
    </w:p>
    <w:p>
      <w:pPr>
        <w:widowControl w:val="on"/>
        <w:pBdr/>
        <w:spacing w:before="220" w:after="220" w:line="240" w:lineRule="auto"/>
        <w:ind w:left="0" w:right="0"/>
        <w:jc w:val="left"/>
      </w:pPr>
      <w:r>
        <w:rPr>
          <w:rFonts w:ascii="Calibri" w:hAnsi="Calibri" w:eastAsia="Calibri" w:cs="Calibri"/>
          <w:color w:val="000000"/>
          <w:sz w:val="22"/>
          <w:szCs w:val="22"/>
        </w:rPr>
        <w:t xml:space="preserve">Poojari S &amp; Naidu RA (2013) First Report of </w:t>
      </w:r>
      <w:r>
        <w:rPr>
          <w:rFonts w:ascii="Calibri" w:hAnsi="Calibri" w:eastAsia="Calibri" w:cs="Calibri"/>
          <w:i/>
          <w:iCs/>
          <w:color w:val="000000"/>
          <w:sz w:val="22"/>
          <w:szCs w:val="22"/>
        </w:rPr>
        <w:t xml:space="preserve">Impatiens necrotic spot virus</w:t>
      </w:r>
      <w:r>
        <w:rPr>
          <w:rFonts w:ascii="Calibri" w:hAnsi="Calibri" w:eastAsia="Calibri" w:cs="Calibri"/>
          <w:color w:val="000000"/>
          <w:sz w:val="22"/>
          <w:szCs w:val="22"/>
        </w:rPr>
        <w:t xml:space="preserve"> (INSV) Infecting Basil (</w:t>
      </w:r>
      <w:r>
        <w:rPr>
          <w:rFonts w:ascii="Calibri" w:hAnsi="Calibri" w:eastAsia="Calibri" w:cs="Calibri"/>
          <w:i/>
          <w:iCs/>
          <w:color w:val="000000"/>
          <w:sz w:val="22"/>
          <w:szCs w:val="22"/>
        </w:rPr>
        <w:t xml:space="preserve">Ocimum basilicum</w:t>
      </w:r>
      <w:r>
        <w:rPr>
          <w:rFonts w:ascii="Calibri" w:hAnsi="Calibri" w:eastAsia="Calibri" w:cs="Calibri"/>
          <w:color w:val="000000"/>
          <w:sz w:val="22"/>
          <w:szCs w:val="22"/>
        </w:rPr>
        <w:t xml:space="preserve">) in the United States.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(6), 850.</w:t>
      </w:r>
    </w:p>
    <w:p>
      <w:pPr>
        <w:widowControl w:val="on"/>
        <w:pBdr/>
        <w:spacing w:before="220" w:after="220" w:line="240" w:lineRule="auto"/>
        <w:ind w:left="0" w:right="0"/>
        <w:jc w:val="left"/>
      </w:pPr>
      <w:r>
        <w:rPr>
          <w:rFonts w:ascii="Calibri" w:hAnsi="Calibri" w:eastAsia="Calibri" w:cs="Calibri"/>
          <w:color w:val="000000"/>
          <w:sz w:val="22"/>
          <w:szCs w:val="22"/>
        </w:rPr>
        <w:t xml:space="preserve">Roggero P, Dellavalle G, Ciuffo M &amp; Pennazio S (1999) Effects of temperature on infection in </w:t>
      </w:r>
      <w:r>
        <w:rPr>
          <w:rFonts w:ascii="Calibri" w:hAnsi="Calibri" w:eastAsia="Calibri" w:cs="Calibri"/>
          <w:i/>
          <w:iCs/>
          <w:color w:val="000000"/>
          <w:sz w:val="22"/>
          <w:szCs w:val="22"/>
        </w:rPr>
        <w:t xml:space="preserve">Capsicum </w:t>
      </w:r>
      <w:r>
        <w:rPr>
          <w:rFonts w:ascii="Calibri" w:hAnsi="Calibri" w:eastAsia="Calibri" w:cs="Calibri"/>
          <w:color w:val="000000"/>
          <w:sz w:val="22"/>
          <w:szCs w:val="22"/>
        </w:rPr>
        <w:t xml:space="preserve">sp. and </w:t>
      </w:r>
      <w:r>
        <w:rPr>
          <w:rFonts w:ascii="Calibri" w:hAnsi="Calibri" w:eastAsia="Calibri" w:cs="Calibri"/>
          <w:i/>
          <w:iCs/>
          <w:color w:val="000000"/>
          <w:sz w:val="22"/>
          <w:szCs w:val="22"/>
        </w:rPr>
        <w:t xml:space="preserve">Nicotiana benthamiana</w:t>
      </w:r>
      <w:r>
        <w:rPr>
          <w:rFonts w:ascii="Calibri" w:hAnsi="Calibri" w:eastAsia="Calibri" w:cs="Calibri"/>
          <w:color w:val="000000"/>
          <w:sz w:val="22"/>
          <w:szCs w:val="22"/>
        </w:rPr>
        <w:t xml:space="preserve"> by </w:t>
      </w:r>
      <w:r>
        <w:rPr>
          <w:rFonts w:ascii="Calibri" w:hAnsi="Calibri" w:eastAsia="Calibri" w:cs="Calibri"/>
          <w:i/>
          <w:iCs/>
          <w:color w:val="000000"/>
          <w:sz w:val="22"/>
          <w:szCs w:val="22"/>
        </w:rPr>
        <w:t xml:space="preserve">Impatiens necrotic spot tospovirus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509–512.</w:t>
      </w:r>
    </w:p>
    <w:p>
      <w:pPr>
        <w:widowControl w:val="on"/>
        <w:pBdr/>
        <w:spacing w:before="220" w:after="220" w:line="240" w:lineRule="auto"/>
        <w:ind w:left="0" w:right="0"/>
        <w:jc w:val="left"/>
      </w:pPr>
      <w:r>
        <w:rPr>
          <w:rFonts w:ascii="Calibri" w:hAnsi="Calibri" w:eastAsia="Calibri" w:cs="Calibri"/>
          <w:color w:val="000000"/>
          <w:sz w:val="22"/>
          <w:szCs w:val="22"/>
        </w:rPr>
        <w:t xml:space="preserve">Rotenberg D &amp; Whitfield AE (2018) Molecular interactions between tospoviruses and thrips vectors. </w:t>
      </w:r>
      <w:r>
        <w:rPr>
          <w:rFonts w:ascii="Calibri" w:hAnsi="Calibri" w:eastAsia="Calibri" w:cs="Calibri"/>
          <w:i/>
          <w:iCs/>
          <w:color w:val="000000"/>
          <w:sz w:val="22"/>
          <w:szCs w:val="22"/>
        </w:rPr>
        <w:t xml:space="preserve">Current Opinion in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191–197.</w:t>
      </w:r>
    </w:p>
    <w:p>
      <w:pPr>
        <w:widowControl w:val="on"/>
        <w:pBdr/>
        <w:spacing w:before="220" w:after="220" w:line="240" w:lineRule="auto"/>
        <w:ind w:left="0" w:right="0"/>
        <w:jc w:val="left"/>
      </w:pPr>
      <w:r>
        <w:rPr>
          <w:rFonts w:ascii="Calibri" w:hAnsi="Calibri" w:eastAsia="Calibri" w:cs="Calibri"/>
          <w:color w:val="000000"/>
          <w:sz w:val="22"/>
          <w:szCs w:val="22"/>
        </w:rPr>
        <w:t xml:space="preserve">Sakurai T, Inoue T &amp; Tsuda S (2004) Distinct efficiencies of </w:t>
      </w:r>
      <w:r>
        <w:rPr>
          <w:rFonts w:ascii="Calibri" w:hAnsi="Calibri" w:eastAsia="Calibri" w:cs="Calibri"/>
          <w:i/>
          <w:iCs/>
          <w:color w:val="000000"/>
          <w:sz w:val="22"/>
          <w:szCs w:val="22"/>
        </w:rPr>
        <w:t xml:space="preserve">Impatiens necrotic spot virus</w:t>
      </w:r>
      <w:r>
        <w:rPr>
          <w:rFonts w:ascii="Calibri" w:hAnsi="Calibri" w:eastAsia="Calibri" w:cs="Calibri"/>
          <w:color w:val="000000"/>
          <w:sz w:val="22"/>
          <w:szCs w:val="22"/>
        </w:rPr>
        <w:t xml:space="preserve"> transmission by five thrips vector species (Thysanoptera: Thripidae) of tospoviruses in Japan.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(1), 71–78. </w:t>
      </w:r>
    </w:p>
    <w:p>
      <w:pPr>
        <w:widowControl w:val="on"/>
        <w:pBdr/>
        <w:spacing w:before="220" w:after="220" w:line="240" w:lineRule="auto"/>
        <w:ind w:left="0" w:right="0"/>
        <w:jc w:val="left"/>
      </w:pPr>
      <w:r>
        <w:rPr>
          <w:rFonts w:ascii="Calibri" w:hAnsi="Calibri" w:eastAsia="Calibri" w:cs="Calibri"/>
          <w:color w:val="000000"/>
          <w:sz w:val="22"/>
          <w:szCs w:val="22"/>
        </w:rPr>
        <w:t xml:space="preserve">Sánchez JA &amp; Lacasa A (2002) Modelling population dynamics of </w:t>
      </w:r>
      <w:r>
        <w:rPr>
          <w:rFonts w:ascii="Calibri" w:hAnsi="Calibri" w:eastAsia="Calibri" w:cs="Calibri"/>
          <w:i/>
          <w:iCs/>
          <w:color w:val="000000"/>
          <w:sz w:val="22"/>
          <w:szCs w:val="22"/>
        </w:rPr>
        <w:t xml:space="preserve">Orius laevigatus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O. albidipennis</w:t>
      </w:r>
      <w:r>
        <w:rPr>
          <w:rFonts w:ascii="Calibri" w:hAnsi="Calibri" w:eastAsia="Calibri" w:cs="Calibri"/>
          <w:color w:val="000000"/>
          <w:sz w:val="22"/>
          <w:szCs w:val="22"/>
        </w:rPr>
        <w:t xml:space="preserve"> (Hemiptera: Anthocoridae) to optimise their use as biological control agents of </w:t>
      </w:r>
      <w:r>
        <w:rPr>
          <w:rFonts w:ascii="Calibri" w:hAnsi="Calibri" w:eastAsia="Calibri" w:cs="Calibri"/>
          <w:i/>
          <w:iCs/>
          <w:color w:val="000000"/>
          <w:sz w:val="22"/>
          <w:szCs w:val="22"/>
        </w:rPr>
        <w:t xml:space="preserve">Frankliniella occidentalis</w:t>
      </w:r>
      <w:r>
        <w:rPr>
          <w:rFonts w:ascii="Calibri" w:hAnsi="Calibri" w:eastAsia="Calibri" w:cs="Calibri"/>
          <w:color w:val="000000"/>
          <w:sz w:val="22"/>
          <w:szCs w:val="22"/>
        </w:rPr>
        <w:t xml:space="preserve"> (Thysanoptera:Thripidae).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77– 78.</w:t>
      </w:r>
    </w:p>
    <w:p>
      <w:pPr>
        <w:widowControl w:val="on"/>
        <w:pBdr/>
        <w:spacing w:before="220" w:after="220" w:line="240" w:lineRule="auto"/>
        <w:ind w:left="0" w:right="0"/>
        <w:jc w:val="left"/>
      </w:pPr>
      <w:r>
        <w:rPr>
          <w:rFonts w:ascii="Calibri" w:hAnsi="Calibri" w:eastAsia="Calibri" w:cs="Calibri"/>
          <w:color w:val="000000"/>
          <w:sz w:val="22"/>
          <w:szCs w:val="22"/>
        </w:rPr>
        <w:t xml:space="preserve">Sears P (2017) </w:t>
      </w:r>
      <w:r>
        <w:rPr>
          <w:rFonts w:ascii="Calibri" w:hAnsi="Calibri" w:eastAsia="Calibri" w:cs="Calibri"/>
          <w:i/>
          <w:iCs/>
          <w:color w:val="000000"/>
          <w:sz w:val="22"/>
          <w:szCs w:val="22"/>
        </w:rPr>
        <w:t xml:space="preserve">Impatiens Necrotic Spot Virus </w:t>
      </w:r>
      <w:r>
        <w:rPr>
          <w:rFonts w:ascii="Calibri" w:hAnsi="Calibri" w:eastAsia="Calibri" w:cs="Calibri"/>
          <w:color w:val="000000"/>
          <w:sz w:val="22"/>
          <w:szCs w:val="22"/>
        </w:rPr>
        <w:t xml:space="preserve">Resistance in Transgenic</w:t>
      </w:r>
      <w:r>
        <w:rPr>
          <w:rFonts w:ascii="Calibri" w:hAnsi="Calibri" w:eastAsia="Calibri" w:cs="Calibri"/>
          <w:i/>
          <w:iCs/>
          <w:color w:val="000000"/>
          <w:sz w:val="22"/>
          <w:szCs w:val="22"/>
        </w:rPr>
        <w:t xml:space="preserve"> Impatiens walleriana </w:t>
      </w:r>
      <w:r>
        <w:rPr>
          <w:rFonts w:ascii="Calibri" w:hAnsi="Calibri" w:eastAsia="Calibri" w:cs="Calibri"/>
          <w:color w:val="000000"/>
          <w:sz w:val="22"/>
          <w:szCs w:val="22"/>
        </w:rPr>
        <w:t xml:space="preserve">&amp; </w:t>
      </w:r>
      <w:r>
        <w:rPr>
          <w:rFonts w:ascii="Calibri" w:hAnsi="Calibri" w:eastAsia="Calibri" w:cs="Calibri"/>
          <w:i/>
          <w:iCs/>
          <w:color w:val="000000"/>
          <w:sz w:val="22"/>
          <w:szCs w:val="22"/>
        </w:rPr>
        <w:t xml:space="preserve">Lycopersicon esculentum</w:t>
      </w:r>
      <w:r>
        <w:rPr>
          <w:rFonts w:ascii="Calibri" w:hAnsi="Calibri" w:eastAsia="Calibri" w:cs="Calibri"/>
          <w:color w:val="000000"/>
          <w:sz w:val="22"/>
          <w:szCs w:val="22"/>
        </w:rPr>
        <w:t xml:space="preserve">. Master of Science In </w:t>
      </w:r>
      <w:r>
        <w:rPr>
          <w:rFonts w:ascii="Calibri" w:hAnsi="Calibri" w:eastAsia="Calibri" w:cs="Calibri"/>
          <w:i/>
          <w:iCs/>
          <w:color w:val="000000"/>
          <w:sz w:val="22"/>
          <w:szCs w:val="22"/>
        </w:rPr>
        <w:t xml:space="preserve">Horticulture, </w:t>
      </w:r>
      <w:r>
        <w:rPr>
          <w:rFonts w:ascii="Calibri" w:hAnsi="Calibri" w:eastAsia="Calibri" w:cs="Calibri"/>
          <w:color w:val="000000"/>
          <w:sz w:val="22"/>
          <w:szCs w:val="22"/>
        </w:rPr>
        <w:t xml:space="preserve">Virginia Polytechnic Institute and State University, Blacksburg, Virginia, 83 p.</w:t>
      </w:r>
    </w:p>
    <w:p>
      <w:pPr>
        <w:widowControl w:val="on"/>
        <w:pBdr/>
        <w:spacing w:before="220" w:after="220" w:line="240" w:lineRule="auto"/>
        <w:ind w:left="0" w:right="0"/>
        <w:jc w:val="left"/>
      </w:pPr>
      <w:r>
        <w:rPr>
          <w:rFonts w:ascii="Calibri" w:hAnsi="Calibri" w:eastAsia="Calibri" w:cs="Calibri"/>
          <w:color w:val="000000"/>
          <w:sz w:val="22"/>
          <w:szCs w:val="22"/>
        </w:rPr>
        <w:t xml:space="preserve">Simko I, Richardson CE &amp; Wintermantel WM (2018) Variation within </w:t>
      </w:r>
      <w:r>
        <w:rPr>
          <w:rFonts w:ascii="Calibri" w:hAnsi="Calibri" w:eastAsia="Calibri" w:cs="Calibri"/>
          <w:i/>
          <w:iCs/>
          <w:color w:val="000000"/>
          <w:sz w:val="22"/>
          <w:szCs w:val="22"/>
        </w:rPr>
        <w:t xml:space="preserve">Lactuca </w:t>
      </w:r>
      <w:r>
        <w:rPr>
          <w:rFonts w:ascii="Calibri" w:hAnsi="Calibri" w:eastAsia="Calibri" w:cs="Calibri"/>
          <w:color w:val="000000"/>
          <w:sz w:val="22"/>
          <w:szCs w:val="22"/>
        </w:rPr>
        <w:t xml:space="preserve">spp. for resistance to Impatiens necrotic spot virus.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(2), 341-348. </w:t>
      </w:r>
      <w:hyperlink r:id="rId9142664b39f4c50ff" w:history="1">
        <w:r>
          <w:rPr>
            <w:rFonts w:ascii="Calibri" w:hAnsi="Calibri" w:eastAsia="Calibri" w:cs="Calibri"/>
            <w:color w:val="0000CC"/>
            <w:sz w:val="22"/>
            <w:szCs w:val="22"/>
            <w:u w:val="single"/>
          </w:rPr>
          <w:t xml:space="preserve">https://apsjournals.apsnet.org/doi/full/10.1094/PDIS-06-17-0790-RE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Trkulja V, Mihić Salapura J, Ćurković B, Stanković I, Bulajić A, Vučurović A &amp; Krstić B (2013) First report of </w:t>
      </w:r>
      <w:r>
        <w:rPr>
          <w:rFonts w:ascii="Calibri" w:hAnsi="Calibri" w:eastAsia="Calibri" w:cs="Calibri"/>
          <w:i/>
          <w:iCs/>
          <w:color w:val="000000"/>
          <w:sz w:val="22"/>
          <w:szCs w:val="22"/>
        </w:rPr>
        <w:t xml:space="preserve">Impatiens necrotic spot virus</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Begonia </w:t>
      </w:r>
      <w:r>
        <w:rPr>
          <w:rFonts w:ascii="Calibri" w:hAnsi="Calibri" w:eastAsia="Calibri" w:cs="Calibri"/>
          <w:color w:val="000000"/>
          <w:sz w:val="22"/>
          <w:szCs w:val="22"/>
        </w:rPr>
        <w:t xml:space="preserve">in Bosnia and Herzegovina.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(7), 1004.</w:t>
      </w:r>
    </w:p>
    <w:p>
      <w:pPr>
        <w:widowControl w:val="on"/>
        <w:pBdr/>
        <w:spacing w:before="220" w:after="220" w:line="240" w:lineRule="auto"/>
        <w:ind w:left="0" w:right="0"/>
        <w:jc w:val="left"/>
      </w:pPr>
      <w:r>
        <w:rPr>
          <w:rFonts w:ascii="Calibri" w:hAnsi="Calibri" w:eastAsia="Calibri" w:cs="Calibri"/>
          <w:color w:val="000000"/>
          <w:sz w:val="22"/>
          <w:szCs w:val="22"/>
        </w:rPr>
        <w:t xml:space="preserve">Vaira AM, Roggero P, Luisoni E, Masenga V, Milne RG &amp; Lisa V (1993) Characterization of two tospoviruses in Italy: tomato spotted wilt and impatiens necrotic spot.</w:t>
      </w:r>
      <w:r>
        <w:rPr>
          <w:rFonts w:ascii="Calibri" w:hAnsi="Calibri" w:eastAsia="Calibri" w:cs="Calibri"/>
          <w:i/>
          <w:iCs/>
          <w:color w:val="000000"/>
          <w:sz w:val="22"/>
          <w:szCs w:val="22"/>
        </w:rPr>
        <w:t xml:space="preserve">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530-542.</w:t>
      </w:r>
    </w:p>
    <w:p>
      <w:pPr>
        <w:widowControl w:val="on"/>
        <w:pBdr/>
        <w:spacing w:before="220" w:after="220" w:line="240" w:lineRule="auto"/>
        <w:ind w:left="0" w:right="0"/>
        <w:jc w:val="left"/>
      </w:pPr>
      <w:r>
        <w:rPr>
          <w:rFonts w:ascii="Calibri" w:hAnsi="Calibri" w:eastAsia="Calibri" w:cs="Calibri"/>
          <w:color w:val="000000"/>
          <w:sz w:val="22"/>
          <w:szCs w:val="22"/>
        </w:rPr>
        <w:t xml:space="preserve">Wijkamp I &amp; Peters D (1993) Determination of the median latent period of 2 Tospoviruses in </w:t>
      </w:r>
      <w:r>
        <w:rPr>
          <w:rFonts w:ascii="Calibri" w:hAnsi="Calibri" w:eastAsia="Calibri" w:cs="Calibri"/>
          <w:i/>
          <w:iCs/>
          <w:color w:val="000000"/>
          <w:sz w:val="22"/>
          <w:szCs w:val="22"/>
        </w:rPr>
        <w:t xml:space="preserve">Frankliniella occidentalis</w:t>
      </w:r>
      <w:r>
        <w:rPr>
          <w:rFonts w:ascii="Calibri" w:hAnsi="Calibri" w:eastAsia="Calibri" w:cs="Calibri"/>
          <w:color w:val="000000"/>
          <w:sz w:val="22"/>
          <w:szCs w:val="22"/>
        </w:rPr>
        <w:t xml:space="preserve">, using a novel leaf disk assay.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986–991.</w:t>
      </w:r>
    </w:p>
    <w:p>
      <w:pPr>
        <w:widowControl w:val="on"/>
        <w:pBdr/>
        <w:spacing w:before="220" w:after="220" w:line="240" w:lineRule="auto"/>
        <w:ind w:left="0" w:right="0"/>
        <w:jc w:val="left"/>
      </w:pPr>
      <w:r>
        <w:rPr>
          <w:rFonts w:ascii="Calibri" w:hAnsi="Calibri" w:eastAsia="Calibri" w:cs="Calibri"/>
          <w:color w:val="000000"/>
          <w:sz w:val="22"/>
          <w:szCs w:val="22"/>
        </w:rPr>
        <w:t xml:space="preserve">Zhang Z, Zheng K, Zhao L, Su X, Zheng X &amp; Wang T (2021) Occurrence, distribution, evolutionary relationships, epidemiology, and management of orthotospoviruses in China. </w:t>
      </w:r>
      <w:r>
        <w:rPr>
          <w:rFonts w:ascii="Calibri" w:hAnsi="Calibri" w:eastAsia="Calibri" w:cs="Calibri"/>
          <w:i/>
          <w:iCs/>
          <w:color w:val="000000"/>
          <w:sz w:val="22"/>
          <w:szCs w:val="22"/>
        </w:rPr>
        <w:t xml:space="preserve">Frontiers in Microbiol</w:t>
      </w:r>
      <w:r>
        <w:rPr>
          <w:rFonts w:ascii="Calibri" w:hAnsi="Calibri" w:eastAsia="Calibri" w:cs="Calibri"/>
          <w:color w:val="000000"/>
          <w:sz w:val="22"/>
          <w:szCs w:val="22"/>
        </w:rPr>
        <w:t xml:space="preserve">ogy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686025. </w:t>
      </w:r>
      <w:hyperlink r:id="rId4313664b39f4c52df" w:history="1">
        <w:r>
          <w:rPr>
            <w:rFonts w:ascii="Calibri" w:hAnsi="Calibri" w:eastAsia="Calibri" w:cs="Calibri"/>
            <w:color w:val="0000CC"/>
            <w:sz w:val="22"/>
            <w:szCs w:val="22"/>
            <w:u w:val="single"/>
          </w:rPr>
          <w:t xml:space="preserve">https://doi.org/10.3389/fmicb.2021.686025</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2022 by Nataša Mehle (National Institute of Biology, Slovenia).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Orthotospovirus impatiensnecromaculae</w:t>
      </w:r>
      <w:r>
        <w:rPr>
          <w:rFonts w:ascii="Calibri" w:hAnsi="Calibri" w:eastAsia="Calibri" w:cs="Calibri"/>
          <w:color w:val="000000"/>
          <w:sz w:val="22"/>
          <w:szCs w:val="22"/>
        </w:rPr>
        <w:t xml:space="preserve">. EPPO datasheets on pests recommended for regulation. Available online. </w:t>
      </w:r>
      <w:hyperlink r:id="rId2595664b39f4c5396"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1999 and revised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(1999) EPPO Data sheets on quarantine pests - </w:t>
      </w:r>
      <w:r>
        <w:rPr>
          <w:rFonts w:ascii="Calibri" w:hAnsi="Calibri" w:eastAsia="Calibri" w:cs="Calibri"/>
          <w:i/>
          <w:iCs/>
          <w:color w:val="000000"/>
          <w:sz w:val="22"/>
          <w:szCs w:val="22"/>
        </w:rPr>
        <w:t xml:space="preserve">Impatiens necrotic spot tospovirus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(4), 473-476. </w:t>
      </w:r>
      <w:hyperlink r:id="rId6098664b39f4c5468" w:history="1">
        <w:r>
          <w:rPr>
            <w:rFonts w:ascii="Calibri" w:hAnsi="Calibri" w:eastAsia="Calibri" w:cs="Calibri"/>
            <w:color w:val="0000CC"/>
            <w:sz w:val="22"/>
            <w:szCs w:val="22"/>
            <w:u w:val="single"/>
          </w:rPr>
          <w:t xml:space="preserve">https://doi.org/10.1111/j.1365-2338.1999.tb01421.x</w:t>
        </w:r>
      </w:hyperlink>
      <w:r>
        <w:rPr>
          <w:rFonts w:ascii="Calibri" w:hAnsi="Calibri" w:eastAsia="Calibri" w:cs="Calibri"/>
          <w:color w:val="000000"/>
          <w:sz w:val="22"/>
          <w:szCs w:val="22"/>
        </w:rPr>
        <w:t xml:space="preserve"> </w:t>
      </w:r>
    </w:p>
    <w:p>
      <w:r>
        <w:drawing>
          <wp:inline distT="0" distB="0" distL="0" distR="0">
            <wp:extent cx="1800000" cy="604800"/>
            <wp:docPr id="65959477" name="name9393664b39f4c56e8"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541664b39f4c56e7"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417490">
    <w:multiLevelType w:val="hybridMultilevel"/>
    <w:lvl w:ilvl="0" w:tplc="56907148">
      <w:start w:val="1"/>
      <w:numFmt w:val="decimal"/>
      <w:lvlText w:val="%1."/>
      <w:lvlJc w:val="left"/>
      <w:pPr>
        <w:ind w:left="720" w:hanging="360"/>
      </w:pPr>
    </w:lvl>
    <w:lvl w:ilvl="1" w:tplc="56907148" w:tentative="1">
      <w:start w:val="1"/>
      <w:numFmt w:val="lowerLetter"/>
      <w:lvlText w:val="%2."/>
      <w:lvlJc w:val="left"/>
      <w:pPr>
        <w:ind w:left="1440" w:hanging="360"/>
      </w:pPr>
    </w:lvl>
    <w:lvl w:ilvl="2" w:tplc="56907148" w:tentative="1">
      <w:start w:val="1"/>
      <w:numFmt w:val="lowerRoman"/>
      <w:lvlText w:val="%3."/>
      <w:lvlJc w:val="right"/>
      <w:pPr>
        <w:ind w:left="2160" w:hanging="180"/>
      </w:pPr>
    </w:lvl>
    <w:lvl w:ilvl="3" w:tplc="56907148" w:tentative="1">
      <w:start w:val="1"/>
      <w:numFmt w:val="decimal"/>
      <w:lvlText w:val="%4."/>
      <w:lvlJc w:val="left"/>
      <w:pPr>
        <w:ind w:left="2880" w:hanging="360"/>
      </w:pPr>
    </w:lvl>
    <w:lvl w:ilvl="4" w:tplc="56907148" w:tentative="1">
      <w:start w:val="1"/>
      <w:numFmt w:val="lowerLetter"/>
      <w:lvlText w:val="%5."/>
      <w:lvlJc w:val="left"/>
      <w:pPr>
        <w:ind w:left="3600" w:hanging="360"/>
      </w:pPr>
    </w:lvl>
    <w:lvl w:ilvl="5" w:tplc="56907148" w:tentative="1">
      <w:start w:val="1"/>
      <w:numFmt w:val="lowerRoman"/>
      <w:lvlText w:val="%6."/>
      <w:lvlJc w:val="right"/>
      <w:pPr>
        <w:ind w:left="4320" w:hanging="180"/>
      </w:pPr>
    </w:lvl>
    <w:lvl w:ilvl="6" w:tplc="56907148" w:tentative="1">
      <w:start w:val="1"/>
      <w:numFmt w:val="decimal"/>
      <w:lvlText w:val="%7."/>
      <w:lvlJc w:val="left"/>
      <w:pPr>
        <w:ind w:left="5040" w:hanging="360"/>
      </w:pPr>
    </w:lvl>
    <w:lvl w:ilvl="7" w:tplc="56907148" w:tentative="1">
      <w:start w:val="1"/>
      <w:numFmt w:val="lowerLetter"/>
      <w:lvlText w:val="%8."/>
      <w:lvlJc w:val="left"/>
      <w:pPr>
        <w:ind w:left="5760" w:hanging="360"/>
      </w:pPr>
    </w:lvl>
    <w:lvl w:ilvl="8" w:tplc="56907148" w:tentative="1">
      <w:start w:val="1"/>
      <w:numFmt w:val="lowerRoman"/>
      <w:lvlText w:val="%9."/>
      <w:lvlJc w:val="right"/>
      <w:pPr>
        <w:ind w:left="6480" w:hanging="180"/>
      </w:pPr>
    </w:lvl>
  </w:abstractNum>
  <w:abstractNum w:abstractNumId="15417489">
    <w:multiLevelType w:val="hybridMultilevel"/>
    <w:lvl w:ilvl="0" w:tplc="1689214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5417489">
    <w:abstractNumId w:val="15417489"/>
  </w:num>
  <w:num w:numId="15417490">
    <w:abstractNumId w:val="1541749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87289924" Type="http://schemas.microsoft.com/office/2011/relationships/commentsExtended" Target="commentsExtended.xml"/><Relationship Id="rId610404042" Type="http://schemas.microsoft.com/office/2011/relationships/people" Target="people.xml"/><Relationship Id="rId2867664b39f4be484" Type="http://schemas.openxmlformats.org/officeDocument/2006/relationships/hyperlink" Target="https://gd.eppo.int/taxon/INSV00/" TargetMode="External"/><Relationship Id="rId4476664b39f4be4f0" Type="http://schemas.openxmlformats.org/officeDocument/2006/relationships/hyperlink" Target="https://gd.eppo.int/taxon/INSV00/categorization" TargetMode="External"/><Relationship Id="rId8488664b39f4befdf" Type="http://schemas.openxmlformats.org/officeDocument/2006/relationships/hyperlink" Target="https://gd.eppo.int/taxon/INSV00/photos" TargetMode="External"/><Relationship Id="rId5418664b39f4bf161" Type="http://schemas.openxmlformats.org/officeDocument/2006/relationships/hyperlink" Target="https://talk.ictvonline.org/taxonomy/" TargetMode="External"/><Relationship Id="rId9860664b39f4c3760" Type="http://schemas.openxmlformats.org/officeDocument/2006/relationships/hyperlink" Target="https://doi.org/10.1007/s00705-019-04253-6" TargetMode="External"/><Relationship Id="rId9689664b39f4c3d65" Type="http://schemas.openxmlformats.org/officeDocument/2006/relationships/hyperlink" Target="https://doi.org/10.2903/j.efsa.2012.3029" TargetMode="External"/><Relationship Id="rId6141664b39f4c3dc7" Type="http://schemas.openxmlformats.org/officeDocument/2006/relationships/hyperlink" Target="https://doi.org/10.2903/j.efsa.2012.2772" TargetMode="External"/><Relationship Id="rId2000664b39f4c40d9" Type="http://schemas.openxmlformats.org/officeDocument/2006/relationships/hyperlink" Target="https://gd.eppo.int" TargetMode="External"/><Relationship Id="rId1122664b39f4c4265" Type="http://schemas.openxmlformats.org/officeDocument/2006/relationships/hyperlink" Target="https://doi.org/10.1371/journal.pone.0147342" TargetMode="External"/><Relationship Id="rId3264664b39f4c4323" Type="http://schemas.openxmlformats.org/officeDocument/2006/relationships/hyperlink" Target="https://doi.org/10.1094/PDIS-09-21-2118-PDN" TargetMode="External"/><Relationship Id="rId8861664b39f4c45e2" Type="http://schemas.openxmlformats.org/officeDocument/2006/relationships/hyperlink" Target="https://doi.org/10.3390/v13050842" TargetMode="External"/><Relationship Id="rId1996664b39f4c4820" Type="http://schemas.openxmlformats.org/officeDocument/2006/relationships/hyperlink" Target="https://apsjournals.apsnet.org/doi/abs/10.1094/PDIS.2001.85.4.448B" TargetMode="External"/><Relationship Id="rId1029664b39f4c4bc2" Type="http://schemas.openxmlformats.org/officeDocument/2006/relationships/hyperlink" Target="https://doi.org/10.1371/journal.pone.0096073" TargetMode="External"/><Relationship Id="rId9142664b39f4c50ff" Type="http://schemas.openxmlformats.org/officeDocument/2006/relationships/hyperlink" Target="https://apsjournals.apsnet.org/doi/full/10.1094/PDIS-06-17-0790-RE" TargetMode="External"/><Relationship Id="rId4313664b39f4c52df" Type="http://schemas.openxmlformats.org/officeDocument/2006/relationships/hyperlink" Target="https://doi.org/10.3389/fmicb.2021.686025" TargetMode="External"/><Relationship Id="rId2595664b39f4c5396" Type="http://schemas.openxmlformats.org/officeDocument/2006/relationships/hyperlink" Target="https://gd.eppo.int" TargetMode="External"/><Relationship Id="rId6098664b39f4c5468" Type="http://schemas.openxmlformats.org/officeDocument/2006/relationships/hyperlink" Target="https://doi.org/10.1111/j.1365-2338.1999.tb01421.x" TargetMode="External"/><Relationship Id="rId7931664b39f4bee61" Type="http://schemas.openxmlformats.org/officeDocument/2006/relationships/image" Target="media/imgrId7931664b39f4bee61.jpg"/><Relationship Id="rId4894664b39f4c2711" Type="http://schemas.openxmlformats.org/officeDocument/2006/relationships/image" Target="media/imgrId4894664b39f4c2711.jpg"/><Relationship Id="rId6541664b39f4c56e7" Type="http://schemas.openxmlformats.org/officeDocument/2006/relationships/image" Target="media/imgrId6541664b39f4c56e7.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