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undecimpunctata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undecimpunctata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Mannerheim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soror</w:t>
            </w:r>
            <w:r>
              <w:rPr>
                <w:rFonts w:ascii="Calibri" w:hAnsi="Calibri" w:eastAsia="Calibri" w:cs="Calibri"/>
                <w:color w:val="000000"/>
                <w:position w:val="-3"/>
                <w:sz w:val="22"/>
                <w:szCs w:val="22"/>
              </w:rPr>
              <w:t xml:space="preserve"> Leconte, </w:t>
            </w:r>
            <w:r>
              <w:rPr>
                <w:rFonts w:ascii="Calibri" w:hAnsi="Calibri" w:eastAsia="Calibri" w:cs="Calibri"/>
                <w:i/>
                <w:iCs/>
                <w:color w:val="000000"/>
                <w:position w:val="-3"/>
                <w:sz w:val="22"/>
                <w:szCs w:val="22"/>
              </w:rPr>
              <w:t xml:space="preserve">Diabrotica undecimpunctata</w:t>
            </w:r>
            <w:r>
              <w:rPr>
                <w:rFonts w:ascii="Calibri" w:hAnsi="Calibri" w:eastAsia="Calibri" w:cs="Calibri"/>
                <w:color w:val="000000"/>
                <w:position w:val="-3"/>
                <w:sz w:val="22"/>
                <w:szCs w:val="22"/>
              </w:rPr>
              <w:t xml:space="preserve"> Mannerheim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budworm, western spotted cucumber beetle</w:t>
            </w:r>
            <w:hyperlink r:id="rId5981664afcf07b24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46664afcf07b2a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56205" name="name9934664afcf07b861" descr="1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5.jpg"/>
                          <pic:cNvPicPr/>
                        </pic:nvPicPr>
                        <pic:blipFill>
                          <a:blip r:embed="rId5264664afcf07b85f" cstate="print"/>
                          <a:stretch>
                            <a:fillRect/>
                          </a:stretch>
                        </pic:blipFill>
                        <pic:spPr>
                          <a:xfrm>
                            <a:off x="0" y="0"/>
                            <a:ext cx="2160000" cy="1281600"/>
                          </a:xfrm>
                          <a:prstGeom prst="rect">
                            <a:avLst/>
                          </a:prstGeom>
                          <a:ln w="0">
                            <a:noFill/>
                          </a:ln>
                        </pic:spPr>
                      </pic:pic>
                    </a:graphicData>
                  </a:graphic>
                </wp:inline>
              </w:drawing>
            </w:r>
            <w:hyperlink r:id="rId1126664afcf07b93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introduction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w:t>
      </w:r>
      <w:r>
        <w:rPr>
          <w:rFonts w:ascii="Calibri" w:hAnsi="Calibri" w:eastAsia="Calibri" w:cs="Calibri"/>
          <w:color w:val="000000"/>
          <w:sz w:val="22"/>
          <w:szCs w:val="22"/>
        </w:rPr>
        <w:t xml:space="preserve"> 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corresponding to subspecies </w:t>
      </w:r>
      <w:r>
        <w:rPr>
          <w:rFonts w:ascii="Calibri" w:hAnsi="Calibri" w:eastAsia="Calibri" w:cs="Calibri"/>
          <w:i/>
          <w:iCs/>
          <w:color w:val="000000"/>
          <w:sz w:val="22"/>
          <w:szCs w:val="22"/>
        </w:rPr>
        <w:t xml:space="preserve">soror</w:t>
      </w:r>
      <w:r>
        <w:rPr>
          <w:rFonts w:ascii="Calibri" w:hAnsi="Calibri" w:eastAsia="Calibri" w:cs="Calibri"/>
          <w:color w:val="000000"/>
          <w:sz w:val="22"/>
          <w:szCs w:val="22"/>
        </w:rPr>
        <w:t xml:space="preserve"> 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w:t>
      </w:r>
      <w:r>
        <w:rPr>
          <w:rFonts w:ascii="Calibri" w:hAnsi="Calibri" w:eastAsia="Calibri" w:cs="Calibri"/>
          <w:color w:val="000000"/>
          <w:sz w:val="22"/>
          <w:szCs w:val="22"/>
        </w:rPr>
        <w:t xml:space="preserve"> 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has a wide host range. A comprehensive list of host plants has been compiled by EFSA PLH (2020) for larvae and adults. True hosts, i.e. those on which this beetle can complete its development and reproduce, include a wide range of wild and cultivated annual plants in the families Chenopodiaceae, Cucurbitaceae, Fabaceae, Poaceae, Polygonaceae and Solanaceae (EFSA PLH, 2020). Adults are able to feed on plants in 28 additional families. However, in the field, larvae exhibit a clear preference for cucurbits (e.g. </w:t>
      </w:r>
      <w:r>
        <w:rPr>
          <w:rFonts w:ascii="Calibri" w:hAnsi="Calibri" w:eastAsia="Calibri" w:cs="Calibri"/>
          <w:i/>
          <w:iCs/>
          <w:color w:val="000000"/>
          <w:sz w:val="22"/>
          <w:szCs w:val="22"/>
        </w:rPr>
        <w:t xml:space="preserve">Cucumis melo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C. sativus</w:t>
      </w:r>
      <w:r>
        <w:rPr>
          <w:rFonts w:ascii="Calibri" w:hAnsi="Calibri" w:eastAsia="Calibri" w:cs="Calibri"/>
          <w:color w:val="000000"/>
          <w:sz w:val="22"/>
          <w:szCs w:val="22"/>
        </w:rPr>
        <w:t xml:space="preserve">), and adults for cucurbits and maize tassels.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acanthicarpa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cotula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pilularis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pycnocephalus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Dicentra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Eschscholzia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Hesperoyucca whipplei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marinum subsp. gussoneanum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Marah fabacea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Marah oreganus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Silybum marianum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Mannerheim and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are believed to be reliable and show its presence essentially in the southwest of North America. It is possible that some of the records in western North America given for 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refer in fact to 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94125146" name="name5475664afcf07d933" descr="DIABU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N_distribution_map.jpg"/>
                    <pic:cNvPicPr/>
                  </pic:nvPicPr>
                  <pic:blipFill>
                    <a:blip r:embed="rId3064664afcf07d92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Hawaii, Idaho,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subspecies</w:t>
      </w:r>
      <w:r>
        <w:rPr>
          <w:rFonts w:ascii="Calibri" w:hAnsi="Calibri" w:eastAsia="Calibri" w:cs="Calibri"/>
          <w:i/>
          <w:iCs/>
          <w:color w:val="000000"/>
          <w:sz w:val="22"/>
          <w:szCs w:val="22"/>
        </w:rPr>
        <w:t xml:space="preserve"> undecimpunctata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have very similar biology (Metcalf and Metcalf, 1993).</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adult is the overwintering stage. Adults hide under leaves and litter in woodland and are only active during this period when the temperature is around 15-20°C. Beetles generally overwinter only in areas with mild winters, principally the southern states of the USA and Mexico. From these areas beetles disperse northwards annually where they form transient (non-overwintering) populations. After overwintering, the adults become active in the spring and feed on wide array of flowering weeds and crop plants. They move and ﬂy readily from one host plant to another, including wild hosts and host crop species grown in close proximity. For example, migrations between snap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that provide a high protein diet for egg development in adult females, and sweet corn, the preferred larval host are mentioned by Miller (2007) in Oregon. Females lay 200 to 1200 eggs singly in the soil, close to the bases of larval host plants (see Host list). The number of eggs produced by female is quite variable in the literature, decreasing as the beetles progress from generation 1, to 2 and to 3 (Capinera, 2008). For oviposition, females prefer coarse soil or soil with cracks to fine and smooth soil; they also prefer wet over dry soil. The young larvae bore into the roots of their hosts where they feed, passing through three instars. During the latter part of the third instar, the larvae leave the host plants, burrow into the soil and enter the inactive or prepupal stage. Pupation takes place in an earthen shell. At 27°C in laboratory conditions, the average rate of development is 6.4 days for eggs, 13.2 days for larvae, 3.6 days for prepupae and 6.5 days for pupae. From egg to adult the average time for development is about 29.6 days (Rimando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Aggregation behavior of adult is reported in overwintering sites such as in fields adjacent to corn fields (Luna and Xue,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symptoms are generally described on cucurbits in the literature. In spring on cucurbits, they chew holes in cotelydons and leaves and then disperse to non-cucurbit hosts to lay eggs. In summer, adults migrate back to cucurbits to feed on leaves and sometimes on soft fruits (Alston and Worwood, 2012). Symptoms are easily visible as small feeding holes and scars on runners and young fruits, but these symptoms are not specific to this species. High densities of adults may induce severe defoliation.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on the roots and also dig into the base of the stems of maize plants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beans, small grains (e.g. </w:t>
      </w:r>
      <w:r>
        <w:rPr>
          <w:rFonts w:ascii="Calibri" w:hAnsi="Calibri" w:eastAsia="Calibri" w:cs="Calibri"/>
          <w:i/>
          <w:iCs/>
          <w:color w:val="000000"/>
          <w:sz w:val="22"/>
          <w:szCs w:val="22"/>
        </w:rPr>
        <w:t xml:space="preserve">Hordeum</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 but not cucurbits. Infested maize plants usually show the effect of larval infestation of the roots when they are 20-50 cm tall. Plants grow poorly, becoming stunted and yellow, but may survive and still produce grain. If the stem is attacked, internal drilling causes the bud to wither and may cause the plant to die. Grain seedlings, particularly corn, are often damaged by larval feeding. Older plants are less susceptible to death following larval feeding (Capinera, 2008).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Morphology</w:t>
      </w:r>
      <w:r>
        <w:rPr>
          <w:rFonts w:ascii="Calibri" w:hAnsi="Calibri" w:eastAsia="Calibri" w:cs="Calibri"/>
          <w:i/>
          <w:iCs/>
          <w:color w:val="000000"/>
          <w:sz w:val="22"/>
          <w:szCs w:val="22"/>
        </w:rPr>
        <w:br/>
        <w:t xml:space="preserve"> 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rootworms pests is covered with primary polygons and sometimes secondary ridges useful for specific identification using the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because they have pits within the polygons, and from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because they have 14 to 20 pits per polygon (vs.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larvae. But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are not distinguishable at the larval stage.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whereas such papillae are lacking for males (Krysan and Miller, 1986).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4.8-6.9 mm long. Elytra green, yellow or reddish-brown, maculate with 12 round black maculae, black head with filiform antennae, pronotum yellow, subquadrate, bifoveate, scutellum black.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can be separated from other subspecies by the following features: legs and abdomen entirely black, partly pale in other subspecies.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between the larvae of the three species of corn rootworms using morphological characters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chemical kairomone attractant (Hongtrakul 1997) and cucurbitacin-baited traps can be used for the monitoring of production sites (Alston and Worwood, 2012; Luna, 2006).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undecimpuncta</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including a full investigation of potential pathways (EFSA PLH, 2020). EFSA PLH (2020) noted that immature stages (eggs, larvae or pupae) in soil and growing media (with or without host plants) or adults on foliage or fruits are the only potential pathways involved. However, adults only feed on young fruits not ready for harvest and in addition, fly away quickly when disturbed. The probability of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cannot be excluded,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Survival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damage various vegetable and flower crops, especially cucurbits. In this respect, they are more significant pests than the adults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undecimpunctata</w:t>
      </w:r>
      <w:r>
        <w:rPr>
          <w:rFonts w:ascii="Calibri" w:hAnsi="Calibri" w:eastAsia="Calibri" w:cs="Calibri"/>
          <w:color w:val="000000"/>
          <w:sz w:val="22"/>
          <w:szCs w:val="22"/>
        </w:rPr>
        <w:t xml:space="preserve"> is cited as the predominant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found throughout California and is one of the most common insects on a variety of weedy and cultivated plants (Goodell and Phillips, 2019). It is also the major insect pest of the Willamette Valley vegetable industry in Oregon, attacking snap beans, sweet corn, and cucurbits (Luna, 2004) or vegetable, ornamental, forage, and fruit crops west of the Rocky Mountains (Luna, 2009). Pod feeding by the spotted beetle can cause severe economic loss, and insecticides are widely used for its control. Adult feeding on lettuce and spinach is a particular problem to organic growers (Alderman, 2010).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more often cited as a pest of cucumber than of maize (hence its common name). In Utah, overwintering adults chew holes in cotelydons and leaves of cucurbits before dispersing to non-cucurbit hosts to lay eggs and the second generations of adults migrate back to cucurbits to feed on leaves and, sometimes, on soft fruits (Alston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Worwood, 2012).</w:t>
      </w:r>
    </w:p>
    <w:p>
      <w:pPr>
        <w:widowControl w:val="on"/>
        <w:pBdr/>
        <w:spacing w:before="220" w:after="220" w:line="240" w:lineRule="auto"/>
        <w:ind w:left="0" w:right="0"/>
        <w:jc w:val="both"/>
      </w:pPr>
      <w:r>
        <w:rPr>
          <w:rFonts w:ascii="Calibri" w:hAnsi="Calibri" w:eastAsia="Calibri" w:cs="Calibri"/>
          <w:color w:val="000000"/>
          <w:sz w:val="22"/>
          <w:szCs w:val="22"/>
        </w:rPr>
        <w:t xml:space="preserve">For practical purposes,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often considered together with another chrysomelid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(the striped cucumber beetle), which causes very similar damage. An economic injury level was estimate by Weinzierl (1984) and Weinzierl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It was estimated at a daily average of 4.1 beetles per 10 sweeps during the 14 days preceding harvest and growers suffer considerable economic loss if pod damage exceeds 1.5 feeding scars per 100 pods. In recent years, cucumber beetle infestations in Northern California melon crops have been especially severe and foliar insecticide use to control the adults has increased (Pedersen and Godfrey, 2011). The beetle is also important as a vector of cucumber mosaic virus and muskmelon necrotic spot virus, and bacterial wilt of cucurbits (</w:t>
      </w:r>
      <w:r>
        <w:rPr>
          <w:rFonts w:ascii="Calibri" w:hAnsi="Calibri" w:eastAsia="Calibri" w:cs="Calibri"/>
          <w:i/>
          <w:iCs/>
          <w:color w:val="000000"/>
          <w:sz w:val="22"/>
          <w:szCs w:val="22"/>
        </w:rPr>
        <w:t xml:space="preserve">Erwinia tracheiphila</w:t>
      </w:r>
      <w:r>
        <w:rPr>
          <w:rFonts w:ascii="Calibri" w:hAnsi="Calibri" w:eastAsia="Calibri" w:cs="Calibri"/>
          <w:color w:val="000000"/>
          <w:sz w:val="22"/>
          <w:szCs w:val="22"/>
        </w:rPr>
        <w:t xml:space="preserve">) and of corn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(Capinera, 2008), squash mosaic virus, bean mosaic virus and maize chlorotic mottle virus (Alston and Worwood, 2012). It seems likely that the western spotted cucumber beetle can also vector pathogenic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(Miller,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is also a root pest of maize: larvae can reduce root volume, cause corn lodging, or increase root rot. Greenhouse studies suggest that maize is the most suitable larval host (Pedersen and Godfrey, 2011). For example, this species is the predominate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to attack sweet corn in the Willamette Valley of Oregon (Miller, 2007). In general, this species is, though, of lesser importance on corn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The larvae are also pests of many other crops, including nursery crops.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vegetable, fruit, and nursery crops pesticides are commonly used to control adults (Alderman, 2010), mainly to protect plants at the cotyledon stage and allow a good stand to establish, but also as foliar applications to prevent transmission of bacteria and viruses. Because of the relative simplicity of adding an insecticide to the ‘tank mix’ of fungicide being applied for white mould control, bean growers in Oregon achieved relatively effective control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It has been noted in the USA that beetles aggregate along the edge of the snap bean fields next to the sweet corn (Luna &amp; Xue, 2009). Spraying the edges of bean fields shows potential for significant pesticide reduction, as well as reducing risk of economic loss from crops harvested from the highly aggregated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If heavy infestation by larvae is foreseen, planting time application of granular insecticides, applied in a band over the row, is often recommended for protection of plant roots. Control techniques used in North America include such treatment with e.g. terbufos or isofenphos (Sutter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interest among many vegetable growers for IPM strategies to limit pesticide inputs.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is limited by rotation of maize with other crops (in North America, typically soybean) and late planting into land that has been ploughed earlier in the spring and applying granular baits containing cucurbitacin arrestants, which control adults when broadcast just before egg laying.</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pest measures for cucumber beetles fall into several categories: visual survey and sticky traps are used to detect western spotted cucumber beetle populations and take pest management decisions. Economic thresholds depend on the type of cucurbit, age of plants and susceptibility to bacterial wilt. For example, Cornell University recommends crop scouting twice a week, with emphasis on the inspection of young cucurbit plants with fewer than five leaves. These population counts are used to calculate the average number of beetles per plant. One beetle per plant is the threshold for treating cucurbits in the Midwest, especially with melons and cucumbers, to prevent excessive loss from bacterial wilt (Lam and Forster, 2005 cited by Diver and Hinman, 2008). Trap and kill technologies are under development (Alderman, 2010). A three-component trap has been developed, consisting of a kairomone lure, a physical trap, and a cucurbitacin food source baited with a toxin located inside the trap. More research is needed to avoid a too rapid degradation of kairomone and cucurbitacin in field conditions and to improve the trap design, placement and density (Luna, 2006). Varietal resistance is sought in cucurbits and groundnut in particular. Early ploughing removes vegetation and discourages egg laying. Transparent screens can be used to exclude the beetles from cucurbit crops. Early trap plantings of cucurbits can be used to attract adults, which are then destroyed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Parasites and predators seem to be of little importance in California (Smith and Michelbacher, 1949). The tachinid parasitoid </w:t>
      </w:r>
      <w:r>
        <w:rPr>
          <w:rFonts w:ascii="Calibri" w:hAnsi="Calibri" w:eastAsia="Calibri" w:cs="Calibri"/>
          <w:i/>
          <w:iCs/>
          <w:color w:val="000000"/>
          <w:sz w:val="22"/>
          <w:szCs w:val="22"/>
        </w:rPr>
        <w:t xml:space="preserve">Celatoria diabroticae</w:t>
      </w:r>
      <w:r>
        <w:rPr>
          <w:rFonts w:ascii="Calibri" w:hAnsi="Calibri" w:eastAsia="Calibri" w:cs="Calibri"/>
          <w:color w:val="000000"/>
          <w:sz w:val="22"/>
          <w:szCs w:val="22"/>
        </w:rPr>
        <w:t xml:space="preserve"> (Shimer), one or more mermithid nematodes or the fungus </w:t>
      </w:r>
      <w:r>
        <w:rPr>
          <w:rFonts w:ascii="Calibri" w:hAnsi="Calibri" w:eastAsia="Calibri" w:cs="Calibri"/>
          <w:i/>
          <w:iCs/>
          <w:color w:val="000000"/>
          <w:sz w:val="22"/>
          <w:szCs w:val="22"/>
        </w:rPr>
        <w:t xml:space="preserve">Beauveria</w:t>
      </w:r>
      <w:r>
        <w:rPr>
          <w:rFonts w:ascii="Calibri" w:hAnsi="Calibri" w:eastAsia="Calibri" w:cs="Calibri"/>
          <w:color w:val="000000"/>
          <w:sz w:val="22"/>
          <w:szCs w:val="22"/>
        </w:rPr>
        <w:t xml:space="preserve"> are involved in the natural control of the western spotted cucumber beetles (Weinzierl, 1984; Capinera, 2008). Several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have an insecticidal activity against </w:t>
      </w:r>
      <w:r>
        <w:rPr>
          <w:rFonts w:ascii="Calibri" w:hAnsi="Calibri" w:eastAsia="Calibri" w:cs="Calibri"/>
          <w:i/>
          <w:iCs/>
          <w:color w:val="000000"/>
          <w:sz w:val="22"/>
          <w:szCs w:val="22"/>
        </w:rPr>
        <w:t xml:space="preserve">D. undecimpunctata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(Lambert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predicted optimal climatic areas with hosts present include a large part of Western Europe, but also a portion of North Africa, as well as a large part of the eastern Mediterranean region. Existing experience of the spread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strongly suggests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would rapidly spread in the EPPO region if it entered and suggests that it could be damaging in large parts of this region.</w:t>
      </w:r>
      <w:r>
        <w:rPr>
          <w:rFonts w:ascii="Calibri" w:hAnsi="Calibri" w:eastAsia="Calibri" w:cs="Calibri"/>
          <w:i/>
          <w:iCs/>
          <w:color w:val="000000"/>
          <w:sz w:val="22"/>
          <w:szCs w:val="22"/>
        </w:rPr>
        <w:t xml:space="preserve"> D. undecimpunctata undecimpunctata</w:t>
      </w:r>
      <w:r>
        <w:rPr>
          <w:rFonts w:ascii="Calibri" w:hAnsi="Calibri" w:eastAsia="Calibri" w:cs="Calibri"/>
          <w:color w:val="000000"/>
          <w:sz w:val="22"/>
          <w:szCs w:val="22"/>
        </w:rPr>
        <w:t xml:space="preserve"> feeds on ﬁeld crops and moves between crops and wild vegetation; it regularly migrates between lowlands and foothills. Adults of this species are, more than in the case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 barberi</w:t>
      </w:r>
      <w:r>
        <w:rPr>
          <w:rFonts w:ascii="Calibri" w:hAnsi="Calibri" w:eastAsia="Calibri" w:cs="Calibri"/>
          <w:color w:val="000000"/>
          <w:sz w:val="22"/>
          <w:szCs w:val="22"/>
        </w:rPr>
        <w:t xml:space="preserve">, associated with damage to cucurbit and other vegetable or flower crops, and can vector bacterial and viral diseases. </w:t>
      </w:r>
      <w:r>
        <w:rPr>
          <w:rFonts w:ascii="Calibri" w:hAnsi="Calibri" w:eastAsia="Calibri" w:cs="Calibri"/>
          <w:i/>
          <w:iCs/>
          <w:color w:val="000000"/>
          <w:sz w:val="22"/>
          <w:szCs w:val="22"/>
        </w:rPr>
        <w:t xml:space="preserve">D. undecimpunctata undecimpunctata</w:t>
      </w:r>
      <w:r>
        <w:rPr>
          <w:rFonts w:ascii="Calibri" w:hAnsi="Calibri" w:eastAsia="Calibri" w:cs="Calibri"/>
          <w:color w:val="000000"/>
          <w:sz w:val="22"/>
          <w:szCs w:val="22"/>
        </w:rPr>
        <w:t xml:space="preserve"> is not expected to establish in greenhouses if it were to enter the EU (EFSA PLH, 2020). The spread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to the areas identified as suitable may represent a significant threat to farmers because the damage caused by larvae and adults on roots and aerial parts of plants may result in severe economic losses (Marchioro and Krechemer,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  </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or in a pest free place/site of production (e.g. under complete physical isolation) (EFSA PLH, 2020).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current national regulations in the EPPO region are not always comprehensive of the true host range of </w:t>
      </w:r>
      <w:r>
        <w:rPr>
          <w:rFonts w:ascii="Calibri" w:hAnsi="Calibri" w:eastAsia="Calibri" w:cs="Calibri"/>
          <w:i/>
          <w:iCs/>
          <w:color w:val="000000"/>
          <w:sz w:val="22"/>
          <w:szCs w:val="22"/>
        </w:rPr>
        <w:t xml:space="preserve">D. undecimpunctata undecimpuncatata</w:t>
      </w:r>
      <w:r>
        <w:rPr>
          <w:rFonts w:ascii="Calibri" w:hAnsi="Calibri" w:eastAsia="Calibri" w:cs="Calibri"/>
          <w:color w:val="000000"/>
          <w:sz w:val="22"/>
          <w:szCs w:val="22"/>
        </w:rPr>
        <w:t xml:space="preserve">, phytosanitary measures are widely applied to plants for planting and soil and the entry pathways can be considered as partially closed.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Alderman K (2010) Developing trap and kill technologies to improve management of the western spotted cucumber beetle (</w:t>
      </w:r>
      <w:r>
        <w:rPr>
          <w:rFonts w:ascii="Calibri" w:hAnsi="Calibri" w:eastAsia="Calibri" w:cs="Calibri"/>
          <w:i/>
          <w:iCs/>
          <w:color w:val="000000"/>
          <w:sz w:val="22"/>
          <w:szCs w:val="22"/>
        </w:rPr>
        <w:t xml:space="preserve">Diabrotica undecimpunctata undecimpunctata</w:t>
      </w:r>
      <w:r>
        <w:rPr>
          <w:rFonts w:ascii="Calibri" w:hAnsi="Calibri" w:eastAsia="Calibri" w:cs="Calibri"/>
          <w:color w:val="000000"/>
          <w:sz w:val="22"/>
          <w:szCs w:val="22"/>
        </w:rPr>
        <w:t xml:space="preserve">) and the western Striped cucumber beetle (</w:t>
      </w:r>
      <w:r>
        <w:rPr>
          <w:rFonts w:ascii="Calibri" w:hAnsi="Calibri" w:eastAsia="Calibri" w:cs="Calibri"/>
          <w:i/>
          <w:iCs/>
          <w:color w:val="000000"/>
          <w:sz w:val="22"/>
          <w:szCs w:val="22"/>
        </w:rPr>
        <w:t xml:space="preserve">Acalymma trivittatum</w:t>
      </w:r>
      <w:r>
        <w:rPr>
          <w:rFonts w:ascii="Calibri" w:hAnsi="Calibri" w:eastAsia="Calibri" w:cs="Calibri"/>
          <w:color w:val="000000"/>
          <w:sz w:val="22"/>
          <w:szCs w:val="22"/>
        </w:rPr>
        <w:t xml:space="preserve">). Undergraduate Thesis - Oregon State University. 25pp.</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w:t>
      </w:r>
      <w:r>
        <w:rPr>
          <w:rFonts w:ascii="Calibri" w:hAnsi="Calibri" w:eastAsia="Calibri" w:cs="Calibri"/>
          <w:i/>
          <w:iCs/>
          <w:color w:val="000000"/>
          <w:sz w:val="22"/>
          <w:szCs w:val="22"/>
        </w:rPr>
        <w:t xml:space="preserve">All Current Publications</w:t>
      </w:r>
      <w:r>
        <w:rPr>
          <w:rFonts w:ascii="Calibri" w:hAnsi="Calibri" w:eastAsia="Calibri" w:cs="Calibri"/>
          <w:color w:val="000000"/>
          <w:sz w:val="22"/>
          <w:szCs w:val="22"/>
        </w:rPr>
        <w:t xml:space="preserve">. Paper 987. Available at </w:t>
      </w:r>
      <w:hyperlink r:id="rId7222664afcf07e9bc"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2021-03-31]</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SC &amp; Meinke LJ (2008) A technique to morphologically differentiate larvae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77-79.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580</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species (Coleoptera: Chrysomelidae) from North and Central America. USDA APHIS PPQ Center for Plant Health Science and Technology, USDA Agricultural Research Service, University of Maryland, and Louisiana State University. Available at </w:t>
      </w:r>
      <w:hyperlink r:id="rId1164664afcf07ec36"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2021-03-31]</w:t>
      </w:r>
    </w:p>
    <w:p>
      <w:pPr>
        <w:widowControl w:val="on"/>
        <w:pBdr/>
        <w:spacing w:before="220" w:after="220" w:line="240" w:lineRule="auto"/>
        <w:ind w:left="0" w:right="0"/>
        <w:jc w:val="left"/>
      </w:pPr>
      <w:r>
        <w:rPr>
          <w:rFonts w:ascii="Calibri" w:hAnsi="Calibri" w:eastAsia="Calibri" w:cs="Calibri"/>
          <w:color w:val="000000"/>
          <w:sz w:val="22"/>
          <w:szCs w:val="22"/>
        </w:rPr>
        <w:t xml:space="preserve">Diver S &amp; Hinman T (2008) Cucumber beetles: organic and biorational integrated pest management. ATTRA – National Sustainable Agriculture Information Service. 20pp.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on Plant Health) (2020) Bragard C, Dehnen Schmutz K, Di Serio F, Gonthier P, Jacques M‐A, Jaques Miret JA, Justesen AF, Magnusson CS, Milonas P, Navas Cortes JA, Parnell S, Potting R, Reignault PL, Thulke H‐H, Van der Werf W, Civera AV, Yuen J, Zappalà L, Kertész V, Streissl F and MacLeod A. Scientific Opinion on the pest categorisation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(10), 6291, 26 pp. </w:t>
      </w:r>
      <w:hyperlink r:id="rId2924664afcf07ed10" w:history="1">
        <w:r>
          <w:rPr>
            <w:rFonts w:ascii="Calibri" w:hAnsi="Calibri" w:eastAsia="Calibri" w:cs="Calibri"/>
            <w:color w:val="0000CC"/>
            <w:sz w:val="22"/>
            <w:szCs w:val="22"/>
            <w:u w:val="single"/>
          </w:rPr>
          <w:t xml:space="preserve">https://doi.org/10.2903/j.efsa.2020.6291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Diagnostics.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Goodell PB &amp; Phillips PA (2019) A field key to the cucumber beetle species found in California. University of California. Agriculture &amp; Natural Resources. 4pp.</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Diabrotica undecimpunctata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Methods for the study of pest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(pp. 25-47).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 BJ, Jansens SK &amp; Peferoen M (1994) U.S. Patent No. 5,369,027. Washington, DC: U.S. Patent and Trademark Office.</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(2004) Trap cropping and removal trapping to enhance control of western spotted cucumber beetle in vegetable crops. College of Agricultural Sciences - Oregon State University. 14pp.</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&amp; Xue L (2009) Aggregation behavior of western spotted cucumber beetle (Coleoptera: Chrysomelidae) in vegetable cropping systems.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809-814.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NL (2007) Responses and relationships among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sweet corn, and western spotted cucumber beetles. Thesis of the Oregon State University. 135pp.</w:t>
      </w:r>
    </w:p>
    <w:p>
      <w:pPr>
        <w:widowControl w:val="on"/>
        <w:pBdr/>
        <w:spacing w:before="220" w:after="220" w:line="240" w:lineRule="auto"/>
        <w:ind w:left="0" w:right="0"/>
        <w:jc w:val="left"/>
      </w:pPr>
      <w:r>
        <w:rPr>
          <w:rFonts w:ascii="Calibri" w:hAnsi="Calibri" w:eastAsia="Calibri" w:cs="Calibri"/>
          <w:color w:val="000000"/>
          <w:sz w:val="22"/>
          <w:szCs w:val="22"/>
        </w:rPr>
        <w:t xml:space="preserve">Pedersen AB &amp; Godfrey LD (2011) Field and vegetable crops as hosts of larval western spotted cucumber beetle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633-638.</w:t>
      </w:r>
    </w:p>
    <w:p>
      <w:pPr>
        <w:widowControl w:val="on"/>
        <w:pBdr/>
        <w:spacing w:before="220" w:after="220" w:line="240" w:lineRule="auto"/>
        <w:ind w:left="0" w:right="0"/>
        <w:jc w:val="left"/>
      </w:pPr>
      <w:r>
        <w:rPr>
          <w:rFonts w:ascii="Calibri" w:hAnsi="Calibri" w:eastAsia="Calibri" w:cs="Calibri"/>
          <w:color w:val="000000"/>
          <w:sz w:val="22"/>
          <w:szCs w:val="22"/>
        </w:rPr>
        <w:t xml:space="preserve">Rimando LC, Corey RA, &amp; Sun YP (1966) Mass rearing of the western spotted cucumber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(1), 230-231.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RF &amp; Michelbacher AE (1949) The development and behavior of populations of </w:t>
      </w:r>
      <w:r>
        <w:rPr>
          <w:rFonts w:ascii="Calibri" w:hAnsi="Calibri" w:eastAsia="Calibri" w:cs="Calibri"/>
          <w:i/>
          <w:iCs/>
          <w:color w:val="000000"/>
          <w:sz w:val="22"/>
          <w:szCs w:val="22"/>
        </w:rPr>
        <w:t xml:space="preserve">Diabrotica 11-punctata</w:t>
      </w:r>
      <w:r>
        <w:rPr>
          <w:rFonts w:ascii="Calibri" w:hAnsi="Calibri" w:eastAsia="Calibri" w:cs="Calibri"/>
          <w:color w:val="000000"/>
          <w:sz w:val="22"/>
          <w:szCs w:val="22"/>
        </w:rPr>
        <w:t xml:space="preserve"> in foothill areas of California.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(4), 497-510.</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(Insects, Coleoptera): proposed conservation of the specific name, and of the subspecific name howardi Barber, 1947. </w:t>
      </w:r>
      <w:r>
        <w:rPr>
          <w:rFonts w:ascii="Calibri" w:hAnsi="Calibri" w:eastAsia="Calibri" w:cs="Calibri"/>
          <w:i/>
          <w:iCs/>
          <w:color w:val="000000"/>
          <w:sz w:val="22"/>
          <w:szCs w:val="22"/>
        </w:rPr>
        <w:t xml:space="preserve">Bulletin of Zoological Nomenclature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Weinzierl RA (1984) Sampling methods and injury thresholds for western spotted cucumber beetle in snap beans. Thesis of the Oregon State University. 125pp.</w:t>
      </w:r>
    </w:p>
    <w:p>
      <w:pPr>
        <w:widowControl w:val="on"/>
        <w:pBdr/>
        <w:spacing w:before="220" w:after="220" w:line="240" w:lineRule="auto"/>
        <w:ind w:left="0" w:right="0"/>
        <w:jc w:val="left"/>
      </w:pPr>
      <w:r>
        <w:rPr>
          <w:rFonts w:ascii="Calibri" w:hAnsi="Calibri" w:eastAsia="Calibri" w:cs="Calibri"/>
          <w:color w:val="000000"/>
          <w:sz w:val="22"/>
          <w:szCs w:val="22"/>
        </w:rPr>
        <w:t xml:space="preserve">Weinzierl RA, Berry RE &amp; Fisher GC (1987) Sweep-net sampling for western spotted cucumber beetle (Coleoptera: Chrysomelidae) in snap beans: spatial distribution, economic injury level, and sequential sampling plans.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(6), 1278-1283.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undecimpunctata</w:t>
      </w:r>
      <w:r>
        <w:rPr>
          <w:rFonts w:ascii="Calibri" w:hAnsi="Calibri" w:eastAsia="Calibri" w:cs="Calibri"/>
          <w:color w:val="000000"/>
          <w:sz w:val="22"/>
          <w:szCs w:val="22"/>
        </w:rPr>
        <w:t xml:space="preserve">. EPPO datasheets on pests recommended for regulation. Available online. </w:t>
      </w:r>
      <w:hyperlink r:id="rId4519664afcf07f56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2311664afcf07f637"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52464689" name="name3571664afcf07f6c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70664afcf07f6c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30124">
    <w:multiLevelType w:val="hybridMultilevel"/>
    <w:lvl w:ilvl="0" w:tplc="85637820">
      <w:start w:val="1"/>
      <w:numFmt w:val="decimal"/>
      <w:lvlText w:val="%1."/>
      <w:lvlJc w:val="left"/>
      <w:pPr>
        <w:ind w:left="720" w:hanging="360"/>
      </w:pPr>
    </w:lvl>
    <w:lvl w:ilvl="1" w:tplc="85637820" w:tentative="1">
      <w:start w:val="1"/>
      <w:numFmt w:val="lowerLetter"/>
      <w:lvlText w:val="%2."/>
      <w:lvlJc w:val="left"/>
      <w:pPr>
        <w:ind w:left="1440" w:hanging="360"/>
      </w:pPr>
    </w:lvl>
    <w:lvl w:ilvl="2" w:tplc="85637820" w:tentative="1">
      <w:start w:val="1"/>
      <w:numFmt w:val="lowerRoman"/>
      <w:lvlText w:val="%3."/>
      <w:lvlJc w:val="right"/>
      <w:pPr>
        <w:ind w:left="2160" w:hanging="180"/>
      </w:pPr>
    </w:lvl>
    <w:lvl w:ilvl="3" w:tplc="85637820" w:tentative="1">
      <w:start w:val="1"/>
      <w:numFmt w:val="decimal"/>
      <w:lvlText w:val="%4."/>
      <w:lvlJc w:val="left"/>
      <w:pPr>
        <w:ind w:left="2880" w:hanging="360"/>
      </w:pPr>
    </w:lvl>
    <w:lvl w:ilvl="4" w:tplc="85637820" w:tentative="1">
      <w:start w:val="1"/>
      <w:numFmt w:val="lowerLetter"/>
      <w:lvlText w:val="%5."/>
      <w:lvlJc w:val="left"/>
      <w:pPr>
        <w:ind w:left="3600" w:hanging="360"/>
      </w:pPr>
    </w:lvl>
    <w:lvl w:ilvl="5" w:tplc="85637820" w:tentative="1">
      <w:start w:val="1"/>
      <w:numFmt w:val="lowerRoman"/>
      <w:lvlText w:val="%6."/>
      <w:lvlJc w:val="right"/>
      <w:pPr>
        <w:ind w:left="4320" w:hanging="180"/>
      </w:pPr>
    </w:lvl>
    <w:lvl w:ilvl="6" w:tplc="85637820" w:tentative="1">
      <w:start w:val="1"/>
      <w:numFmt w:val="decimal"/>
      <w:lvlText w:val="%7."/>
      <w:lvlJc w:val="left"/>
      <w:pPr>
        <w:ind w:left="5040" w:hanging="360"/>
      </w:pPr>
    </w:lvl>
    <w:lvl w:ilvl="7" w:tplc="85637820" w:tentative="1">
      <w:start w:val="1"/>
      <w:numFmt w:val="lowerLetter"/>
      <w:lvlText w:val="%8."/>
      <w:lvlJc w:val="left"/>
      <w:pPr>
        <w:ind w:left="5760" w:hanging="360"/>
      </w:pPr>
    </w:lvl>
    <w:lvl w:ilvl="8" w:tplc="85637820" w:tentative="1">
      <w:start w:val="1"/>
      <w:numFmt w:val="lowerRoman"/>
      <w:lvlText w:val="%9."/>
      <w:lvlJc w:val="right"/>
      <w:pPr>
        <w:ind w:left="6480" w:hanging="180"/>
      </w:pPr>
    </w:lvl>
  </w:abstractNum>
  <w:abstractNum w:abstractNumId="86230123">
    <w:multiLevelType w:val="hybridMultilevel"/>
    <w:lvl w:ilvl="0" w:tplc="932108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230123">
    <w:abstractNumId w:val="86230123"/>
  </w:num>
  <w:num w:numId="86230124">
    <w:abstractNumId w:val="862301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6290885" Type="http://schemas.microsoft.com/office/2011/relationships/commentsExtended" Target="commentsExtended.xml"/><Relationship Id="rId998706159" Type="http://schemas.microsoft.com/office/2011/relationships/people" Target="people.xml"/><Relationship Id="rId5981664afcf07b242" Type="http://schemas.openxmlformats.org/officeDocument/2006/relationships/hyperlink" Target="https://gd.eppo.int/taxon/DIABUN/" TargetMode="External"/><Relationship Id="rId4446664afcf07b2aa" Type="http://schemas.openxmlformats.org/officeDocument/2006/relationships/hyperlink" Target="https://gd.eppo.int/taxon/DIABUN/categorization" TargetMode="External"/><Relationship Id="rId1126664afcf07b93b" Type="http://schemas.openxmlformats.org/officeDocument/2006/relationships/hyperlink" Target="https://gd.eppo.int/taxon/DIABUN/photos" TargetMode="External"/><Relationship Id="rId7222664afcf07e9bc" Type="http://schemas.openxmlformats.org/officeDocument/2006/relationships/hyperlink" Target="https://digitalcommons.usu.edu/extension_curall/987" TargetMode="External"/><Relationship Id="rId1164664afcf07ec36" Type="http://schemas.openxmlformats.org/officeDocument/2006/relationships/hyperlink" Target="http://idtools.org/id/beetles/diabrotica/" TargetMode="External"/><Relationship Id="rId2924664afcf07ed10" Type="http://schemas.openxmlformats.org/officeDocument/2006/relationships/hyperlink" Target="https://doi.org/10.2903/j.efsa.2020.6291" TargetMode="External"/><Relationship Id="rId4519664afcf07f566" Type="http://schemas.openxmlformats.org/officeDocument/2006/relationships/hyperlink" Target="https://gd.eppo.int" TargetMode="External"/><Relationship Id="rId2311664afcf07f637" Type="http://schemas.openxmlformats.org/officeDocument/2006/relationships/hyperlink" Target="https://doi.org/10.1111/j.1365-2338.1999.tb01422.x" TargetMode="External"/><Relationship Id="rId5264664afcf07b85f" Type="http://schemas.openxmlformats.org/officeDocument/2006/relationships/image" Target="media/imgrId5264664afcf07b85f.jpg"/><Relationship Id="rId3064664afcf07d92f" Type="http://schemas.openxmlformats.org/officeDocument/2006/relationships/image" Target="media/imgrId3064664afcf07d92f.jpg"/><Relationship Id="rId6270664afcf07f6c4" Type="http://schemas.openxmlformats.org/officeDocument/2006/relationships/image" Target="media/imgrId6270664afcf07f6c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