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Diaphorina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Diaphorina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Kuwayama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Psyllidae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Euphalerus citri</w:t>
            </w:r>
            <w:r>
              <w:rPr>
                <w:rFonts w:ascii="Calibri" w:hAnsi="Calibri" w:eastAsia="Calibri" w:cs="Calibri"/>
                <w:color w:val="000000"/>
                <w:position w:val="-3"/>
                <w:sz w:val="22"/>
                <w:szCs w:val="22"/>
              </w:rPr>
              <w:t xml:space="preserve"> (Kuwayama)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citrus psyllid, citrus psylla, citrus psyllid</w:t>
            </w:r>
            <w:hyperlink r:id="rId6070664add25d353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562664add25d35a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DIAACI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7067201" name="name1925664add25d3b5d" descr="7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8.jpg"/>
                          <pic:cNvPicPr/>
                        </pic:nvPicPr>
                        <pic:blipFill>
                          <a:blip r:embed="rId4808664add25d3b5b" cstate="print"/>
                          <a:stretch>
                            <a:fillRect/>
                          </a:stretch>
                        </pic:blipFill>
                        <pic:spPr>
                          <a:xfrm>
                            <a:off x="0" y="0"/>
                            <a:ext cx="2160000" cy="1281600"/>
                          </a:xfrm>
                          <a:prstGeom prst="rect">
                            <a:avLst/>
                          </a:prstGeom>
                          <a:ln w="0">
                            <a:noFill/>
                          </a:ln>
                        </pic:spPr>
                      </pic:pic>
                    </a:graphicData>
                  </a:graphic>
                </wp:inline>
              </w:drawing>
            </w:r>
            <w:hyperlink r:id="rId5227664add25d3ca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taxonomic placement of the genus </w:t>
      </w:r>
      <w:r>
        <w:rPr>
          <w:rFonts w:ascii="Calibri" w:hAnsi="Calibri" w:eastAsia="Calibri" w:cs="Calibri"/>
          <w:i/>
          <w:iCs/>
          <w:color w:val="000000"/>
          <w:sz w:val="22"/>
          <w:szCs w:val="22"/>
        </w:rPr>
        <w:t xml:space="preserve">Diaphorina </w:t>
      </w:r>
      <w:r>
        <w:rPr>
          <w:rFonts w:ascii="Calibri" w:hAnsi="Calibri" w:eastAsia="Calibri" w:cs="Calibri"/>
          <w:color w:val="000000"/>
          <w:sz w:val="22"/>
          <w:szCs w:val="22"/>
        </w:rPr>
        <w:t xml:space="preserve">has been subject to several changes. It was moved from the family Psyllidae to the family Liviidae (Burckhardt &amp; Ouvrard, 2012), but it was later proposed to place it back under Psyllidae (Burckhardt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is confined to Rutaceae, occurring on wild hosts and on cultivated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grapefruit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 rutaceous plant often used for hedges, is a preferred host. Within the EPPO region, host species are generally confined to countries surrounding the Mediterranean Sea.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Afraegle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Archidendron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Balsamocitrus dawei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halimii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hassaku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inodora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latipes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sunki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taiwanica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amblycarpa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anisum-olens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excavata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harmandiana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myxa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Merrillia caloxylon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ailanthoides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is wider than that of the causal agent of citrus huanglongbing (HLB) disease originally associated with this vector, </w:t>
      </w:r>
      <w:hyperlink r:id="rId9876664add25d46c7" w:history="1">
        <w:r>
          <w:rPr>
            <w:rFonts w:ascii="Calibri" w:hAnsi="Calibri" w:eastAsia="Calibri" w:cs="Calibri"/>
            <w:color w:val="0000CC"/>
            <w:sz w:val="22"/>
            <w:szCs w:val="22"/>
            <w:u w:val="single"/>
          </w:rPr>
          <w:t xml:space="preserve">'</w:t>
        </w:r>
        <w:r>
          <w:rPr>
            <w:rFonts w:ascii="Calibri" w:hAnsi="Calibri" w:eastAsia="Calibri" w:cs="Calibri"/>
            <w:i/>
            <w:iCs/>
            <w:color w:val="0000CC"/>
            <w:sz w:val="22"/>
            <w:szCs w:val="22"/>
            <w:u w:val="single"/>
          </w:rPr>
          <w:t xml:space="preserve">Candidatus</w:t>
        </w:r>
        <w:r>
          <w:rPr>
            <w:rFonts w:ascii="Calibri" w:hAnsi="Calibri" w:eastAsia="Calibri" w:cs="Calibri"/>
            <w:color w:val="0000CC"/>
            <w:sz w:val="22"/>
            <w:szCs w:val="22"/>
            <w:u w:val="single"/>
          </w:rPr>
          <w:t xml:space="preserve"> Liberibacter asiaticus'.</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occurs in Afghanistan, some states of Brazil, Macau, Myanmar, and Singapore, where the associated bacterium has not yet been recorded.</w:t>
      </w:r>
    </w:p>
    <w:p>
      <w:r>
        <w:drawing>
          <wp:inline distT="0" distB="0" distL="0" distR="0">
            <wp:extent cx="6120000" cy="3067200"/>
            <wp:docPr id="61818899" name="name3870664add25d50e1" descr="DIAA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ACI_distribution_map.jpg"/>
                    <pic:cNvPicPr/>
                  </pic:nvPicPr>
                  <pic:blipFill>
                    <a:blip r:embed="rId6064664add25d50d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Ethiopia, Ghana, Kenya, Mauritius, Nigeria, Reunion,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Bhutan, Cambodia, China (Aomen (Macau), Fujian, Guangdong, Guangxi, Guizhou, Hainan, Henan, Hunan, Jiangxi, Sichuan, Xianggang (Hong Kong), Yunnan, Zhejiang), East Timor, India (Andhra Pradesh, Arunachal Pradesh, Assam, Bihar, Delhi, Gujarat, Haryana, Himachal Pradesh, Jammu &amp; Kashmir, Karnataka, Kerala, Lakshadweep, Madhya Pradesh, Maharashtra, Manipur, Meghalaya, Punjab, Rajasthan, Sikkim, Tamil Nadu, Telangana, Tripura, Uttar Pradesh, West Bengal), Indonesia (Java, Maluku, Nusa Tenggara, Sumatra), Iran, Israel, Japan (Kyushu, Ryukyu Archipelago), Laos, Malaysia (Sabah, Sarawak, West), Maldives, Myanmar, Nepal, Oman, Pakistan, Philippines, Saudi Arabia,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Florida, Georgia, Hawaii, Louisiana, Mississippi,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Cayman Islands, Costa Rica, Cuba, Dominica, Dominican Republic, Guadeloupe, Haiti, Jamaica, Martinique, Montserrat, Nicaragua, Puerto Rico, Saint Lucia, St Vincent and the Grenadines,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(Amazonas, Bahia, Ceara, Para, Pernambuco, Rio de Janeiro, Santa Catarina, Sao Paulo), Colombia, French Guiana,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Guam, Northern Mariana Islands,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has a short life cycle and high fecundity. Its optimal developmental temperature ranges from 25-28°C (Liu and Tsai, 2000), and it is, therefore, best adapted to tropical and subtropical conditions, although mean temperatures above 30°C reduce its survival and fertility. Pairing starts soon after emergence, the insects being most active in spring and summer, once mean temperatures are above 12°C (Udell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Eggs are laid inside half-folded leaves in buds, in leaf axils or other suitable places on the young tender parts of the tree (shoots or flushes). Females have a pre-oviposition period of about 10 days at their optimal temperature, and can lay up to 800 eggs during their lifetime (Liu and Tsai, 2000). Eggs hatch within 3-10 days (3 days at 28°C and 10 days at 15°C) and nymphs pass through five instars in 11-40 days. The complete life cycle takes 14-50 days, with up to 9-14 overlapping generations per year at mean temperatures of 20-25°C. However, as the eggs are laid exclusively on young flushes and nymphs can only develop on tender plant tissue, the number of generations per year is limited by the sprouting activity of citrus trees, and population fluctuations are closely correlated with tree phenology during the growing season (Udell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overwinters as an adult, which can live for up to six months. Adults are highly active and jump at the slightest disturbance. Nymphs will move away when disturbed, but normally lead a sedentary existence, clustered in groups.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is known to be the most efficient vector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the most aggressive causal agent of huanglongbing disease. Together, these two organisms constitute the most destructive citrus pathosystem worldwide (Gottwald, 2010).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can also transmit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In areas in which these three bacteria species coexist,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transmit them indiscriminately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Gottwald,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High densities of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nymphs feeding on tender shoots can stunt and twist them. Lateral leaf notching is a characteristic form of damage associated with this insect (Aubert, 1987). However, at low insect densities, this symptom may go unnoticed. Both adults and immature insects secrete a semi-solid honeydew. Sooty mold may occur in the presence of high psyllid densities and humid environmental conditions.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almond-shaped and tapering at the distal end; 0.01-0.15 mm.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w:t>
      </w:r>
    </w:p>
    <w:p>
      <w:pPr>
        <w:widowControl w:val="on"/>
        <w:pBdr/>
        <w:spacing w:before="220" w:after="220" w:line="240" w:lineRule="auto"/>
        <w:ind w:left="0" w:right="0"/>
        <w:jc w:val="both"/>
      </w:pPr>
      <w:r>
        <w:rPr>
          <w:rFonts w:ascii="Calibri" w:hAnsi="Calibri" w:eastAsia="Calibri" w:cs="Calibri"/>
          <w:color w:val="000000"/>
          <w:sz w:val="22"/>
          <w:szCs w:val="22"/>
        </w:rPr>
        <w:t xml:space="preserve">Light-yellow to dark-brown or green, bearing well-developed wing pods.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about 2-4 mm long, with a yellowish-brown body, greenish-brown or pinkish-brown abdomen, and greyish-brown legs. Males are smaller than females. The wings are transparent, mottled with white and brown spots and a broad, beige, band is present at the periphery of the distal part, slightly interrupted near the apex. The terminal segments of the antennae are black. Two darker segments are also found in the middle of the antennae.</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on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provides guidance on how to detect and identify the pest (EPPO Standard PM 7/52).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sampling methods have been proposed and tested for the detection and monitoring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The sampling methods recommended depend on the goals of the monitoring program. For early detection, suction sampling devices for the capture of adults, and yellow sticky traps are mostly recommended. For regular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management actions, the stem tap sampling of adults provides reliable information rapidly. The visual sampling of nymphs in tender shoots during the major citrus sprouting periods of the tree growing season is recommended for determinations of the number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generations (Monzo and Stansly, 2020). Detailed protocols for surveillance, sampling and detection are indicated in the EPPO Standard PM 9/27 (2020)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has a substantial flight capacity. It can disperse locally over distances of at least 2 km, within 12 days, when food and oviposition resources (tender citrus shoots) are scarce (Lewis-Rosenblum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Eggs and nymphs can be carried over longer distances on citrus material (budwood, grafted trees, rootstock seedlings) from infected areas. Trailers transporting oranges from groves to packing houses have also been recognized as a source of adult vector dispersal (Halbert et al. 2010). Adults and, 5th or 6th-instar nymphs can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to citrus plants. However, cleaned fruit, that has been washed and is without leaves at the end of the packing process is not considered to pose a risk. The rutaceous plant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frequently used as an ornamental bush or hedge, is one of the preferred hosts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This plant can carry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eggs or nymphs, and its introduction into disease- and vector-free regions creates a risk of introduction of huanglongbing or its vector.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results principally from its role as a vector of huanglongbing, the most damaging citrus disease in the world (Gottwald, 2010). The presence of this pathosystem systematically drastically affects the citrus industry (Hodges and Spreens, 2012), and significantly impairs integrated pest management strategies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pathosystem greatly decreases tree productivity, increases management costs considerably, and may also have deleterious effects on fruit quality (Tansey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Intensive management programs for this pathosystem also have a negative impact on biological control processes for this crop, with important economic consequences (Monzo and Stanlsy, 2020a). In addition, direct feeding by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causes leaf curling and notching. Under heavy infestations, sprouting shoots die, resulting in blossom and fruitlet drop.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curative treatments for huanglongbing, and there are no tolerant or resistant plants. The management of this pathosystem is therefore entirely dependent on efficient vector control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Insecticide-based strategies are the most effective, but must be compatible with biological control (Monzo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Broad-spectrum insecticide use in the winter is recommended, as only adult psyllids are found on citrus plants at this time of the year (Qureshi and Stansly, 2010). More selective active ingredients must be used during the tree growing season, when biological control is more relevant (Monzo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Qureshi and Stansly, 2009). Due to the high frequency of insecticide applications against this vector in huanglongbing management programs, the rotation of modes of action is essential, to reduce the risk of resistance (Tiwari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Economic thresholds have also been proposed, for spraying based on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abundance, as a means of reducing the number of applications (Monzo and Stansly 2017). Biological control alone is not sufficient to prevent the spread of huanglongbing, but it can help to reduce the frequency of applications in commercial groves and is the most efficient management strategy for citrus trees in non-commercial citrus growing areas, such as those in urban gardens (Kistner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Monzo and Stansly, 2020a). The parasitoid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has been introduced into several citrus-growing regions worldwide, with various degrees of success (Chen and Stansly, 2014). Conservation biological control of naturally occurring predators can also greatly reduce the size of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populations during the citrus growing season (Qureshi and Stansly, 2009; Monzo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could probably establish itself and spread in Mediterranean countries without difficulty. The presence of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would greatly increase the risk of introduction and spread of huanglongbing. However, in addition to its role in spreading huanglongbing, this psyllid has a significant potential for damage in its own right. Biological control may be possible, but there is no guarantee that it could keep populations at sufficiently low levels to prevent transmission of huanglongbing.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3919. </w:t>
      </w:r>
      <w:hyperlink r:id="rId1021664add25d5d32"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Aubert B (1987)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and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Kuwayama (Homoptera: Psylloidea), the two vectors of citrus greening disease: Biological aspects and possible control strategies.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149-162.</w:t>
      </w:r>
    </w:p>
    <w:p>
      <w:pPr>
        <w:widowControl w:val="on"/>
        <w:pBdr/>
        <w:spacing w:before="220" w:after="220" w:line="240" w:lineRule="auto"/>
        <w:ind w:left="0" w:right="0"/>
        <w:jc w:val="left"/>
      </w:pPr>
      <w:r>
        <w:rPr>
          <w:rFonts w:ascii="Calibri" w:hAnsi="Calibri" w:eastAsia="Calibri" w:cs="Calibri"/>
          <w:color w:val="000000"/>
          <w:sz w:val="22"/>
          <w:szCs w:val="22"/>
        </w:rPr>
        <w:t xml:space="preserve">Burckhardt D &amp; Ouvrard D (2012) A revised classification of the jumping plant-lice (Hemiptera: Psylloidea). </w:t>
      </w:r>
      <w:r>
        <w:rPr>
          <w:rFonts w:ascii="Calibri" w:hAnsi="Calibri" w:eastAsia="Calibri" w:cs="Calibri"/>
          <w:i/>
          <w:iCs/>
          <w:color w:val="000000"/>
          <w:sz w:val="22"/>
          <w:szCs w:val="22"/>
        </w:rPr>
        <w:t xml:space="preserve">Zootaxa </w:t>
      </w:r>
      <w:r>
        <w:rPr>
          <w:rFonts w:ascii="Calibri" w:hAnsi="Calibri" w:eastAsia="Calibri" w:cs="Calibri"/>
          <w:b/>
          <w:bCs/>
          <w:color w:val="000000"/>
          <w:sz w:val="22"/>
          <w:szCs w:val="22"/>
        </w:rPr>
        <w:t xml:space="preserve">3509</w:t>
      </w:r>
      <w:r>
        <w:rPr>
          <w:rFonts w:ascii="Calibri" w:hAnsi="Calibri" w:eastAsia="Calibri" w:cs="Calibri"/>
          <w:color w:val="000000"/>
          <w:sz w:val="22"/>
          <w:szCs w:val="22"/>
        </w:rPr>
        <w:t xml:space="preserve">, 1-34.</w:t>
      </w:r>
    </w:p>
    <w:p>
      <w:pPr>
        <w:widowControl w:val="on"/>
        <w:pBdr/>
        <w:spacing w:before="220" w:after="220" w:line="240" w:lineRule="auto"/>
        <w:ind w:left="0" w:right="0"/>
        <w:jc w:val="left"/>
      </w:pPr>
      <w:r>
        <w:rPr>
          <w:rFonts w:ascii="Calibri" w:hAnsi="Calibri" w:eastAsia="Calibri" w:cs="Calibri"/>
          <w:color w:val="000000"/>
          <w:sz w:val="22"/>
          <w:szCs w:val="22"/>
        </w:rPr>
        <w:t xml:space="preserve">Burckhardt D, Ouvrard D &amp; Percy DM (2021) An updated classification of the jumping plant-lice (Hemiptera: Psylloidea) integrating molecular and morphological evidence. </w:t>
      </w:r>
      <w:r>
        <w:rPr>
          <w:rFonts w:ascii="Calibri" w:hAnsi="Calibri" w:eastAsia="Calibri" w:cs="Calibri"/>
          <w:i/>
          <w:iCs/>
          <w:color w:val="000000"/>
          <w:sz w:val="22"/>
          <w:szCs w:val="22"/>
        </w:rPr>
        <w:t xml:space="preserve">European Journal of Taxonomy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736</w:t>
      </w:r>
      <w:r>
        <w:rPr>
          <w:rFonts w:ascii="Calibri" w:hAnsi="Calibri" w:eastAsia="Calibri" w:cs="Calibri"/>
          <w:color w:val="000000"/>
          <w:sz w:val="22"/>
          <w:szCs w:val="22"/>
        </w:rPr>
        <w:t xml:space="preserve">, 137–182. </w:t>
      </w:r>
      <w:hyperlink r:id="rId1077664add25d5eae" w:history="1">
        <w:r>
          <w:rPr>
            <w:rFonts w:ascii="Calibri" w:hAnsi="Calibri" w:eastAsia="Calibri" w:cs="Calibri"/>
            <w:color w:val="0000CC"/>
            <w:sz w:val="22"/>
            <w:szCs w:val="22"/>
            <w:u w:val="single"/>
          </w:rPr>
          <w:t xml:space="preserve">https://doi.org/10.5852/ejt.2021.736.1257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X &amp; Stansly PA (2014) Biology of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(Hymenoptera: Eulophidae), parasitoid of the citrus greening disease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Psylloidea): a mini review.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1404-1413.</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 S4.3-S4.8.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Parnell S, Camilleri M, Diakaki M, Schrader G &amp; Vos S (2019)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EN-1574. </w:t>
      </w:r>
      <w:hyperlink r:id="rId2808664add25d6012" w:history="1">
        <w:r>
          <w:rPr>
            <w:rFonts w:ascii="Calibri" w:hAnsi="Calibri" w:eastAsia="Calibri" w:cs="Calibri"/>
            <w:color w:val="0000CC"/>
            <w:sz w:val="22"/>
            <w:szCs w:val="22"/>
            <w:u w:val="single"/>
          </w:rPr>
          <w:t xml:space="preserve">https://doi.org/doi:10.2903/sp.efsa.2019.EN-1574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that are casual agents of Huanglongbing disease of citrus and their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Stelinski LL &amp; Stansly PA (2013) Biology and management of Asian citrus psyllid, vector of the huanglongbing pathogens.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413-432.</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(2006) Economic impacts of citrus greening (HLB) in Florida, 2006/07-2010/11. EDIS. 2012; </w:t>
      </w:r>
      <w:r>
        <w:rPr>
          <w:rFonts w:ascii="Calibri" w:hAnsi="Calibri" w:eastAsia="Calibri" w:cs="Calibri"/>
          <w:b/>
          <w:bCs/>
          <w:color w:val="000000"/>
          <w:sz w:val="22"/>
          <w:szCs w:val="22"/>
        </w:rPr>
        <w:t xml:space="preserve">FE903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w:t>
      </w:r>
    </w:p>
    <w:p>
      <w:pPr>
        <w:widowControl w:val="on"/>
        <w:pBdr/>
        <w:spacing w:before="220" w:after="220" w:line="240" w:lineRule="auto"/>
        <w:ind w:left="0" w:right="0"/>
        <w:jc w:val="left"/>
      </w:pPr>
      <w:r>
        <w:rPr>
          <w:rFonts w:ascii="Calibri" w:hAnsi="Calibri" w:eastAsia="Calibri" w:cs="Calibri"/>
          <w:color w:val="000000"/>
          <w:sz w:val="22"/>
          <w:szCs w:val="22"/>
        </w:rPr>
        <w:t xml:space="preserve">Kistner EJ, Amrich R, Castillo M, Strode V &amp; Hoddle MS (2016) Phenology of Asian citrus psyllid (Hemiptera: Liviidae), with special reference to biological control by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in the residential landscape of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1047-1057.</w:t>
      </w:r>
    </w:p>
    <w:p>
      <w:pPr>
        <w:widowControl w:val="on"/>
        <w:pBdr/>
        <w:spacing w:before="220" w:after="220" w:line="240" w:lineRule="auto"/>
        <w:ind w:left="0" w:right="0"/>
        <w:jc w:val="left"/>
      </w:pPr>
      <w:r>
        <w:rPr>
          <w:rFonts w:ascii="Calibri" w:hAnsi="Calibri" w:eastAsia="Calibri" w:cs="Calibri"/>
          <w:color w:val="000000"/>
          <w:sz w:val="22"/>
          <w:szCs w:val="22"/>
        </w:rPr>
        <w:t xml:space="preserve">Lewis-Rosenblum H, Martini X, Tiwari S &amp; Stelinski LL (2015) Seasonal movement patterns and long-range dispersal of Asian citrus psyllid in Florida citrus.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3-10.</w:t>
      </w:r>
    </w:p>
    <w:p>
      <w:pPr>
        <w:widowControl w:val="on"/>
        <w:pBdr/>
        <w:spacing w:before="220" w:after="220" w:line="240" w:lineRule="auto"/>
        <w:ind w:left="0" w:right="0"/>
        <w:jc w:val="left"/>
      </w:pPr>
      <w:r>
        <w:rPr>
          <w:rFonts w:ascii="Calibri" w:hAnsi="Calibri" w:eastAsia="Calibri" w:cs="Calibri"/>
          <w:color w:val="000000"/>
          <w:sz w:val="22"/>
          <w:szCs w:val="22"/>
        </w:rPr>
        <w:t xml:space="preserve">Liu YH &amp; Tsai JH (2000) Effects of temperature on biology and life table parameters of the Asian citrus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Kuwayama (Homoptera: Psyllidae).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201-206.</w:t>
      </w:r>
    </w:p>
    <w:p>
      <w:pPr>
        <w:widowControl w:val="on"/>
        <w:pBdr/>
        <w:spacing w:before="220" w:after="220" w:line="240" w:lineRule="auto"/>
        <w:ind w:left="0" w:right="0"/>
        <w:jc w:val="left"/>
      </w:pPr>
      <w:r>
        <w:rPr>
          <w:rFonts w:ascii="Calibri" w:hAnsi="Calibri" w:eastAsia="Calibri" w:cs="Calibri"/>
          <w:color w:val="000000"/>
          <w:sz w:val="22"/>
          <w:szCs w:val="22"/>
        </w:rPr>
        <w:t xml:space="preserve">Monzo C, Qureshi JA &amp; Stansly PA (2014) Insecticide sprays, natural enemy assemblages and predation on Asian citrus psyllid, </w:t>
      </w:r>
      <w:r>
        <w:rPr>
          <w:rFonts w:ascii="Calibri" w:hAnsi="Calibri" w:eastAsia="Calibri" w:cs="Calibri"/>
          <w:i/>
          <w:iCs/>
          <w:color w:val="000000"/>
          <w:sz w:val="22"/>
          <w:szCs w:val="22"/>
        </w:rPr>
        <w:t xml:space="preserve">Diaphorina citri </w:t>
      </w:r>
      <w:r>
        <w:rPr>
          <w:rFonts w:ascii="Calibri" w:hAnsi="Calibri" w:eastAsia="Calibri" w:cs="Calibri"/>
          <w:color w:val="000000"/>
          <w:sz w:val="22"/>
          <w:szCs w:val="22"/>
        </w:rPr>
        <w:t xml:space="preserve">(Hemiptera: Psyllidae).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576-585.</w:t>
      </w:r>
    </w:p>
    <w:p>
      <w:pPr>
        <w:widowControl w:val="on"/>
        <w:pBdr/>
        <w:spacing w:before="220" w:after="220" w:line="240" w:lineRule="auto"/>
        <w:ind w:left="0" w:right="0"/>
        <w:jc w:val="left"/>
      </w:pPr>
      <w:r>
        <w:rPr>
          <w:rFonts w:ascii="Calibri" w:hAnsi="Calibri" w:eastAsia="Calibri" w:cs="Calibri"/>
          <w:color w:val="000000"/>
          <w:sz w:val="22"/>
          <w:szCs w:val="22"/>
        </w:rPr>
        <w:t xml:space="preserve">Monzo C &amp; Stansly PA (2017) Economic injury levels for Asian citrus psyllid control in process oranges from mature trees with high incidence of huanglongbing.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w:t>
      </w:r>
      <w:hyperlink r:id="rId8855664add25d646a" w:history="1">
        <w:r>
          <w:rPr>
            <w:rFonts w:ascii="Calibri" w:hAnsi="Calibri" w:eastAsia="Calibri" w:cs="Calibri"/>
            <w:color w:val="0000CC"/>
            <w:sz w:val="22"/>
            <w:szCs w:val="22"/>
            <w:u w:val="single"/>
          </w:rPr>
          <w:t xml:space="preserve">https://doi.org/10.1371/journal.pone.0175333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Monzó C &amp; Stansly PA (2020a) Economic value of conservation biological control for management of the Asian citrus psyllid, vector of citrus Huanglongbing disease.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1691-1698.</w:t>
      </w:r>
    </w:p>
    <w:p>
      <w:pPr>
        <w:widowControl w:val="on"/>
        <w:pBdr/>
        <w:spacing w:before="220" w:after="220" w:line="240" w:lineRule="auto"/>
        <w:ind w:left="0" w:right="0"/>
        <w:jc w:val="left"/>
      </w:pPr>
      <w:r>
        <w:rPr>
          <w:rFonts w:ascii="Calibri" w:hAnsi="Calibri" w:eastAsia="Calibri" w:cs="Calibri"/>
          <w:color w:val="000000"/>
          <w:sz w:val="22"/>
          <w:szCs w:val="22"/>
        </w:rPr>
        <w:t xml:space="preserve">Monzo C &amp; Stansly PA (2020b) Sampling and economic thresholds for Asian citrus psyllid.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Asian Citrus Psyllid. Biology, Ecology and Management of the Huanglongbing Vector. JA Qureshi and PA Stansly editors. CABI,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&amp; Stansly PA (2009) Exclusion techniques reveal significant biotic mortality suffered by Asian citrus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populations in Florida citrus.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&amp; Stansly PA (2010) Dormant season foliar sprays of broad-spectrum insecticides: An effective component of integrated management for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in citrus orchards.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860-866.</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Rogers ME, Hall DG &amp; Stansly PA (2009) Incidence of invasive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and its introduced parasitoid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(Hymenoptera: Eulophidae) in Florida citrus.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247-256.</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Marcos-Noales E, Bertolini E, Teresani G, Penalver J, Mansilla P, Aguin O, Perez-Otero R, Abelleira A, Guerrera-Garcia J, Hernandez E, Cambra M &amp; Milagros-Lopez M (2017) Survey of huanglongbing associated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Tansey JA, Vanaclocha P, Monzo C, Jones M &amp; Stansly PA (2017) Costs and benefits of insecticide and foliar nutrient applications to huanglongbing‐infected citrus trees.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904-916.</w:t>
      </w:r>
    </w:p>
    <w:p>
      <w:pPr>
        <w:widowControl w:val="on"/>
        <w:pBdr/>
        <w:spacing w:before="220" w:after="220" w:line="240" w:lineRule="auto"/>
        <w:ind w:left="0" w:right="0"/>
        <w:jc w:val="left"/>
      </w:pPr>
      <w:r>
        <w:rPr>
          <w:rFonts w:ascii="Calibri" w:hAnsi="Calibri" w:eastAsia="Calibri" w:cs="Calibri"/>
          <w:color w:val="000000"/>
          <w:sz w:val="22"/>
          <w:szCs w:val="22"/>
        </w:rPr>
        <w:t xml:space="preserve">Tiwari S, Mann RS, Rogers ME &amp; Stelinski LL (2011) Insecticide resistance in field populations of Asian citrus psyllid in Florida.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1258-1268.</w:t>
      </w:r>
    </w:p>
    <w:p>
      <w:pPr>
        <w:widowControl w:val="on"/>
        <w:pBdr/>
        <w:spacing w:before="220" w:after="220" w:line="240" w:lineRule="auto"/>
        <w:ind w:left="0" w:right="0"/>
        <w:jc w:val="left"/>
      </w:pPr>
      <w:r>
        <w:rPr>
          <w:rFonts w:ascii="Calibri" w:hAnsi="Calibri" w:eastAsia="Calibri" w:cs="Calibri"/>
          <w:color w:val="000000"/>
          <w:sz w:val="22"/>
          <w:szCs w:val="22"/>
        </w:rPr>
        <w:t xml:space="preserve">Udell BJ, Monzo C, Paris TM, Allan SA &amp; Stansly PA (2017) Influence of limiting and regulating factors on populations of Asian citrus psyllid and the risk of insect and disease outbreaks.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 70-88.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Cesar Monzo from Instituto Valenciano de Investigaciones Agrarias (IVIA), Moncada, Valencia, Spain.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 datasheets on pests recommended for regulation. Available online. </w:t>
      </w:r>
      <w:hyperlink r:id="rId8730664add25d68e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(1988) Data sheets on quarantine organisms No. 151, Citrus greening bacterium and its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color w:val="000000"/>
          <w:sz w:val="22"/>
          <w:szCs w:val="22"/>
        </w:rPr>
        <w:t xml:space="preserve">18, 497-507.</w:t>
      </w:r>
    </w:p>
    <w:p>
      <w:r>
        <w:drawing>
          <wp:inline distT="0" distB="0" distL="0" distR="0">
            <wp:extent cx="1800000" cy="604800"/>
            <wp:docPr id="51329650" name="name1392664add25d6ab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200664add25d6ab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488320">
    <w:multiLevelType w:val="hybridMultilevel"/>
    <w:lvl w:ilvl="0" w:tplc="71976690">
      <w:start w:val="1"/>
      <w:numFmt w:val="decimal"/>
      <w:lvlText w:val="%1."/>
      <w:lvlJc w:val="left"/>
      <w:pPr>
        <w:ind w:left="720" w:hanging="360"/>
      </w:pPr>
    </w:lvl>
    <w:lvl w:ilvl="1" w:tplc="71976690" w:tentative="1">
      <w:start w:val="1"/>
      <w:numFmt w:val="lowerLetter"/>
      <w:lvlText w:val="%2."/>
      <w:lvlJc w:val="left"/>
      <w:pPr>
        <w:ind w:left="1440" w:hanging="360"/>
      </w:pPr>
    </w:lvl>
    <w:lvl w:ilvl="2" w:tplc="71976690" w:tentative="1">
      <w:start w:val="1"/>
      <w:numFmt w:val="lowerRoman"/>
      <w:lvlText w:val="%3."/>
      <w:lvlJc w:val="right"/>
      <w:pPr>
        <w:ind w:left="2160" w:hanging="180"/>
      </w:pPr>
    </w:lvl>
    <w:lvl w:ilvl="3" w:tplc="71976690" w:tentative="1">
      <w:start w:val="1"/>
      <w:numFmt w:val="decimal"/>
      <w:lvlText w:val="%4."/>
      <w:lvlJc w:val="left"/>
      <w:pPr>
        <w:ind w:left="2880" w:hanging="360"/>
      </w:pPr>
    </w:lvl>
    <w:lvl w:ilvl="4" w:tplc="71976690" w:tentative="1">
      <w:start w:val="1"/>
      <w:numFmt w:val="lowerLetter"/>
      <w:lvlText w:val="%5."/>
      <w:lvlJc w:val="left"/>
      <w:pPr>
        <w:ind w:left="3600" w:hanging="360"/>
      </w:pPr>
    </w:lvl>
    <w:lvl w:ilvl="5" w:tplc="71976690" w:tentative="1">
      <w:start w:val="1"/>
      <w:numFmt w:val="lowerRoman"/>
      <w:lvlText w:val="%6."/>
      <w:lvlJc w:val="right"/>
      <w:pPr>
        <w:ind w:left="4320" w:hanging="180"/>
      </w:pPr>
    </w:lvl>
    <w:lvl w:ilvl="6" w:tplc="71976690" w:tentative="1">
      <w:start w:val="1"/>
      <w:numFmt w:val="decimal"/>
      <w:lvlText w:val="%7."/>
      <w:lvlJc w:val="left"/>
      <w:pPr>
        <w:ind w:left="5040" w:hanging="360"/>
      </w:pPr>
    </w:lvl>
    <w:lvl w:ilvl="7" w:tplc="71976690" w:tentative="1">
      <w:start w:val="1"/>
      <w:numFmt w:val="lowerLetter"/>
      <w:lvlText w:val="%8."/>
      <w:lvlJc w:val="left"/>
      <w:pPr>
        <w:ind w:left="5760" w:hanging="360"/>
      </w:pPr>
    </w:lvl>
    <w:lvl w:ilvl="8" w:tplc="71976690" w:tentative="1">
      <w:start w:val="1"/>
      <w:numFmt w:val="lowerRoman"/>
      <w:lvlText w:val="%9."/>
      <w:lvlJc w:val="right"/>
      <w:pPr>
        <w:ind w:left="6480" w:hanging="180"/>
      </w:pPr>
    </w:lvl>
  </w:abstractNum>
  <w:abstractNum w:abstractNumId="77488319">
    <w:multiLevelType w:val="hybridMultilevel"/>
    <w:lvl w:ilvl="0" w:tplc="860410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488319">
    <w:abstractNumId w:val="77488319"/>
  </w:num>
  <w:num w:numId="77488320">
    <w:abstractNumId w:val="7748832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8181154" Type="http://schemas.microsoft.com/office/2011/relationships/commentsExtended" Target="commentsExtended.xml"/><Relationship Id="rId580181278" Type="http://schemas.microsoft.com/office/2011/relationships/people" Target="people.xml"/><Relationship Id="rId6070664add25d353a" Type="http://schemas.openxmlformats.org/officeDocument/2006/relationships/hyperlink" Target="https://gd.eppo.int/taxon/DIAACI/" TargetMode="External"/><Relationship Id="rId1562664add25d35a7" Type="http://schemas.openxmlformats.org/officeDocument/2006/relationships/hyperlink" Target="https://gd.eppo.int/taxon/DIAACI/categorization" TargetMode="External"/><Relationship Id="rId5227664add25d3ca8" Type="http://schemas.openxmlformats.org/officeDocument/2006/relationships/hyperlink" Target="https://gd.eppo.int/taxon/DIAACI/photos" TargetMode="External"/><Relationship Id="rId9876664add25d46c7" Type="http://schemas.openxmlformats.org/officeDocument/2006/relationships/hyperlink" Target="https://gd.eppo.int/taxon/LIBEAS/datasheet" TargetMode="External"/><Relationship Id="rId1021664add25d5d32" Type="http://schemas.openxmlformats.org/officeDocument/2006/relationships/hyperlink" Target="https://doi.org/10.1038/s41598-020-60712-0" TargetMode="External"/><Relationship Id="rId1077664add25d5eae" Type="http://schemas.openxmlformats.org/officeDocument/2006/relationships/hyperlink" Target="https://doi.org/10.5852/ejt.2021.736.1257" TargetMode="External"/><Relationship Id="rId2808664add25d6012" Type="http://schemas.openxmlformats.org/officeDocument/2006/relationships/hyperlink" Target="https://doi.org/doi:10.2903/sp.efsa.2019.EN-1574" TargetMode="External"/><Relationship Id="rId8855664add25d646a" Type="http://schemas.openxmlformats.org/officeDocument/2006/relationships/hyperlink" Target="https://doi.org/10.1371/journal.pone.0175333" TargetMode="External"/><Relationship Id="rId8730664add25d68ee" Type="http://schemas.openxmlformats.org/officeDocument/2006/relationships/hyperlink" Target="https://gd.eppo.int" TargetMode="External"/><Relationship Id="rId4808664add25d3b5b" Type="http://schemas.openxmlformats.org/officeDocument/2006/relationships/image" Target="media/imgrId4808664add25d3b5b.jpg"/><Relationship Id="rId6064664add25d50dc" Type="http://schemas.openxmlformats.org/officeDocument/2006/relationships/image" Target="media/imgrId6064664add25d50dc.jpg"/><Relationship Id="rId8200664add25d6ab3" Type="http://schemas.openxmlformats.org/officeDocument/2006/relationships/image" Target="media/imgrId8200664add25d6ab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