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zonata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zonata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(Saunders)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zonatus</w:t>
            </w:r>
            <w:r>
              <w:rPr>
                <w:rFonts w:ascii="Calibri" w:hAnsi="Calibri" w:eastAsia="Calibri" w:cs="Calibri"/>
                <w:color w:val="000000"/>
                <w:position w:val="-3"/>
                <w:sz w:val="22"/>
                <w:szCs w:val="22"/>
              </w:rPr>
              <w:t xml:space="preserve"> (Saunders), </w:t>
            </w:r>
            <w:r>
              <w:rPr>
                <w:rFonts w:ascii="Calibri" w:hAnsi="Calibri" w:eastAsia="Calibri" w:cs="Calibri"/>
                <w:i/>
                <w:iCs/>
                <w:color w:val="000000"/>
                <w:position w:val="-3"/>
                <w:sz w:val="22"/>
                <w:szCs w:val="22"/>
              </w:rPr>
              <w:t xml:space="preserve">Dasyneura zonata</w:t>
            </w:r>
            <w:r>
              <w:rPr>
                <w:rFonts w:ascii="Calibri" w:hAnsi="Calibri" w:eastAsia="Calibri" w:cs="Calibri"/>
                <w:color w:val="000000"/>
                <w:position w:val="-3"/>
                <w:sz w:val="22"/>
                <w:szCs w:val="22"/>
              </w:rPr>
              <w:t xml:space="preserve"> Saunders, </w:t>
            </w:r>
            <w:r>
              <w:rPr>
                <w:rFonts w:ascii="Calibri" w:hAnsi="Calibri" w:eastAsia="Calibri" w:cs="Calibri"/>
                <w:i/>
                <w:iCs/>
                <w:color w:val="000000"/>
                <w:position w:val="-3"/>
                <w:sz w:val="22"/>
                <w:szCs w:val="22"/>
              </w:rPr>
              <w:t xml:space="preserve">Rivellia persicae</w:t>
            </w:r>
            <w:r>
              <w:rPr>
                <w:rFonts w:ascii="Calibri" w:hAnsi="Calibri" w:eastAsia="Calibri" w:cs="Calibri"/>
                <w:color w:val="000000"/>
                <w:position w:val="-3"/>
                <w:sz w:val="22"/>
                <w:szCs w:val="22"/>
              </w:rPr>
              <w:t xml:space="preserve"> Bigot, </w:t>
            </w:r>
            <w:r>
              <w:rPr>
                <w:rFonts w:ascii="Calibri" w:hAnsi="Calibri" w:eastAsia="Calibri" w:cs="Calibri"/>
                <w:i/>
                <w:iCs/>
                <w:color w:val="000000"/>
                <w:position w:val="-3"/>
                <w:sz w:val="22"/>
                <w:szCs w:val="22"/>
              </w:rPr>
              <w:t xml:space="preserve">Strumeta zonata</w:t>
            </w:r>
            <w:r>
              <w:rPr>
                <w:rFonts w:ascii="Calibri" w:hAnsi="Calibri" w:eastAsia="Calibri" w:cs="Calibri"/>
                <w:color w:val="000000"/>
                <w:position w:val="-3"/>
                <w:sz w:val="22"/>
                <w:szCs w:val="22"/>
              </w:rPr>
              <w:t xml:space="preserve"> (Saunders)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guava fruit fly, peach fruit fly</w:t>
            </w:r>
            <w:hyperlink r:id="rId4700665a882c544f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729665a882c5456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DACUZO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5164190" name="name6915665a882c54634" descr="12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22.jpg"/>
                          <pic:cNvPicPr/>
                        </pic:nvPicPr>
                        <pic:blipFill>
                          <a:blip r:embed="rId6382665a882c54633" cstate="print"/>
                          <a:stretch>
                            <a:fillRect/>
                          </a:stretch>
                        </pic:blipFill>
                        <pic:spPr>
                          <a:xfrm>
                            <a:off x="0" y="0"/>
                            <a:ext cx="2160000" cy="1281600"/>
                          </a:xfrm>
                          <a:prstGeom prst="rect">
                            <a:avLst/>
                          </a:prstGeom>
                          <a:ln w="0">
                            <a:noFill/>
                          </a:ln>
                        </pic:spPr>
                      </pic:pic>
                    </a:graphicData>
                  </a:graphic>
                </wp:inline>
              </w:drawing>
            </w:r>
            <w:hyperlink r:id="rId4897665a882c54756"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is a polyphagous species reported from a large range of commercial and wild hosts (Allwood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The range of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in Africa, where it was introduced, is much more restricted than in its native area but includes a number of commercially important fruits. The USDA Compendium of Fruit Fly Host Information (CoFFHI) (Culliney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provides an extensive host list with detailed references.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Afzelia xylocarpa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hygrophilus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Putranjiva roxburghii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zonata </w:t>
      </w:r>
      <w:r>
        <w:rPr>
          <w:rFonts w:ascii="Calibri" w:hAnsi="Calibri" w:eastAsia="Calibri" w:cs="Calibri"/>
          <w:color w:val="000000"/>
          <w:sz w:val="22"/>
          <w:szCs w:val="22"/>
        </w:rPr>
        <w:t xml:space="preserve">is an Asian species widespread on the Indian subcontinent and into Southeast Asia. It is also widely distributed in the Middle East (Iran, Iraq) and on the Arabian Peninsula. It was introduced to Africa where it is currently limited to Egypt, Libya and Sudan in the northeast of mainland Africa, as well as on the islands of Mauritius and Reunion in the Western Indian Ocean. The occurrence in Israel is in isolated areas.</w:t>
      </w:r>
    </w:p>
    <w:p>
      <w:r>
        <w:drawing>
          <wp:inline distT="0" distB="0" distL="0" distR="0">
            <wp:extent cx="6120000" cy="3067200"/>
            <wp:docPr id="71800603" name="name7374665a882c55b08" descr="DACUZ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ZO_distribution_map.jpg"/>
                    <pic:cNvPicPr/>
                  </pic:nvPicPr>
                  <pic:blipFill>
                    <a:blip r:embed="rId6073665a882c55b0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Libya, Mauritius, Reunion, Sudan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India (Andhra Pradesh, Assam, Bihar, Chhattisgarh, Delhi, Goa, Gujarat, Haryana, Himachal Pradesh, Jammu &amp; Kashmir, Karnataka, Kerala, Madhya Pradesh, Maharashtra, Punjab, Tamil Nadu, Telangana, Uttarakhand, Uttar Pradesh, West Bengal), Iran, Iraq, Israel, Laos, Myanmar, Nepal, Oman, Pakistan, Saudi Arabia, Sri Lanka, Thailand, United Arab Emirates, Vietnam,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Based on experiments conducted in La Réunion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can complete its life cycle in about 61 days at 25°C (Duyck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Females start laying eggs in fruit between 2 and 3 weeks after adult emergence. The maximum number of eggs laid per day by one female is 13 (Duyck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total number of eggs laid in a lifetime of a female was calculated to be 303 (Duyck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total duration of the larval stages varies from 4 to 30 days at 35°C and 15°C respectively (Duyck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According to Qureshi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the immature stages cannot develop at temperatures below 15°C. Once mature the third instar larvae burrow into the soil where they pupate. In areas where winter conditions occur, the winter is passed in the pupal stage according to Rahman et al. (1993). The pupal development takes 8 and 53 days, at 35°C and 15°C respectively (Duyck et al., 2004). Females of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can live for up to 18 weeks.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The 3rd-instar larva has been described by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White &amp; Elson-Harris (1992) provide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A key to this and other tephritids for the 3rd-instar larvae is available in Balmès &amp; Mouttet (2017).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with additional character states by White, 2006)</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medium-sized oval black spots; postpronotal lobes and notopleura yellow; scutum red-brown with pale fuscous patterning posteriorly; medium-width parallel-sided lateral postsutural yellow vittae ending at or just behind intra-alar seta; medial postsutural yellow vitta absent; mesopleural stripe reaching to or almost to anterior notopleural seta dorsally; scutellum yellow (except for basal dark margin); legs with all segments entirely fulvous except apices of femora red-brown and hind tibiae pale fuscous to fuscous; wing with cells bc and c colourless, and entirely devoid of microtrichia; a narrow fuscous costal band confluent with R2+3 and ending at apex of this vein, small oval fuscous spots across apex of R4+5; anal streak absent, at most reduced to a pale tint within cell cup; supernumerary lobe of medium development; abdominal terga III-V red-brown with a ‘T’ pattern consisting of a narrow transverse black band across anterior margin of tergum III (often broken in the central region) and narrow medial longitudinal black band over all three terga (often reduced to a stripe over parts of terga IV and V), narrow anterolateral fuscous corners of terga IV and V, a pair of oval red-brown shining spots on tergum V.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Supernumerary lobe weak; pecten absent from abdominal tergum III. Ovipositor basal segment red-brown, dorsoventrally compressed and tapering posteriorly in dorsal view;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A diagnostic protocol for this species has been published by EPPO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may be used for the molecular identification of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however, it should be noted the Barcoding Index Number Systems (BINs) in which this species is represented, also include a few unidentified / possibly misidentified reference sequences. Sequences are available in the </w:t>
      </w:r>
      <w:hyperlink r:id="rId5510665a882c560e9" w:history="1">
        <w:r>
          <w:rPr>
            <w:rFonts w:ascii="Calibri" w:hAnsi="Calibri" w:eastAsia="Calibri" w:cs="Calibri"/>
            <w:b/>
            <w:bCs/>
            <w:color w:val="0000CC"/>
            <w:sz w:val="22"/>
            <w:szCs w:val="22"/>
            <w:u w:val="single"/>
          </w:rPr>
          <w:t xml:space="preserve">Barcode of Life Data Systems</w:t>
        </w:r>
        <w:r>
          <w:rPr>
            <w:rFonts w:ascii="Calibri" w:hAnsi="Calibri" w:eastAsia="Calibri" w:cs="Calibri"/>
            <w:b/>
            <w:bCs/>
            <w:i/>
            <w:iCs/>
            <w:color w:val="0000CC"/>
            <w:sz w:val="22"/>
            <w:szCs w:val="22"/>
            <w:u w:val="single"/>
          </w:rPr>
          <w:t xml:space="preserve"> </w:t>
        </w:r>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in </w:t>
      </w:r>
      <w:hyperlink r:id="rId3771665a882c5614b"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Both sexes can be monitored by traps baited with protein-based attractants. An EPPO Standard PM 9/011 (1)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procedure for official control includes details on trapping (EPPO, 2010).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The natural dispersal ability of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is unclear. Qureshi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report records of up to 40 km of spread by individual flies in experiments with sterile males. This seems to be the maximum and possibly a rare occurrence as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recently published a review stating that long distance dispersal (50-100 km) for several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is largely based on erroneous citations.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is polyphagous, but is particularly a pest of peach, mango and guava. The impact of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appears to be variable according to the region and presence or absence of other polyphagous species. In Egypt, losses can be substantial, especially on mangoes, citrus and peaches reaching levels of 20% (Cayol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Saafan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Pakistan and northern parts of India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is considered more important than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(Qureshi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1991; Kapoor, 1993) causing major losses in peach, apricot, guava and figs; while in Sri Lanka it does not seem to be an important pest (Tsuruta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Siddiqui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reports damage up to 50% to guava in Pakistan.</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the pest is present, it was reported that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could outcompete other tephritid fruit fly species such as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(Duyck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Singh &amp; Sharma (2016) report on the positive impact of such an integrated pest management (IPM) program (including ploughing, sanitation, bait sprays and male annihilation technique) against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(together with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on Kinnow Mandarin (</w:t>
      </w:r>
      <w:r>
        <w:rPr>
          <w:rFonts w:ascii="Calibri" w:hAnsi="Calibri" w:eastAsia="Calibri" w:cs="Calibri"/>
          <w:i/>
          <w:iCs/>
          <w:color w:val="000000"/>
          <w:sz w:val="22"/>
          <w:szCs w:val="22"/>
        </w:rPr>
        <w:t xml:space="preserve">Citrus deliciosa</w:t>
      </w:r>
      <w:r>
        <w:rPr>
          <w:rFonts w:ascii="Calibri" w:hAnsi="Calibri" w:eastAsia="Calibri" w:cs="Calibri"/>
          <w:color w:val="000000"/>
          <w:sz w:val="22"/>
          <w:szCs w:val="22"/>
        </w:rPr>
        <w:t xml:space="preserve">) in Punjab (India).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zonata </w:t>
      </w:r>
      <w:r>
        <w:rPr>
          <w:rFonts w:ascii="Calibri" w:hAnsi="Calibri" w:eastAsia="Calibri" w:cs="Calibri"/>
          <w:color w:val="000000"/>
          <w:sz w:val="22"/>
          <w:szCs w:val="22"/>
        </w:rPr>
        <w:t xml:space="preserve">is a known pest of several commercial fruit crops in the area where it is present. It can be moved in trade with infested fruit. With the isolated occurrences in Israel,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is already present in the EPPO region. EFSA analyzed the distribution models published for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and concluded that several southern parts of the EPPO region, around the Mediterranean are climatically suitable for potential establishment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Transient populations could also have impacts on export of host fruit from the EPPO region.  EFSA compiled a pest report to support the ranking of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as a priority pest for the EU (Baker et al.,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zonata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zonata</w:t>
      </w:r>
      <w:r>
        <w:rPr>
          <w:rFonts w:ascii="Calibri" w:hAnsi="Calibri" w:eastAsia="Calibri" w:cs="Calibri"/>
          <w:color w:val="000000"/>
          <w:sz w:val="22"/>
          <w:szCs w:val="22"/>
        </w:rPr>
        <w:t xml:space="preserve"> occurs should be free from soil, or the soil should be treated against puparia. The plants should not carry fruits. </w:t>
      </w:r>
    </w:p>
    <w:p>
      <w:pPr>
        <w:widowControl w:val="on"/>
        <w:pBdr/>
        <w:spacing w:before="220" w:after="220" w:line="240" w:lineRule="auto"/>
        <w:ind w:left="0" w:right="0"/>
        <w:jc w:val="both"/>
      </w:pPr>
      <w:r>
        <w:rPr>
          <w:rFonts w:ascii="Calibri" w:hAnsi="Calibri" w:eastAsia="Calibri" w:cs="Calibri"/>
          <w:color w:val="000000"/>
          <w:sz w:val="22"/>
          <w:szCs w:val="22"/>
        </w:rPr>
        <w:t xml:space="preserve">Procedures for official control aiming to monitor, contain and eradicate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are described in the EPPO Standard PM 9/011 (1)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procedure for official control (EPPO,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Allwood AJ, Chinajariyawong A, Drew RAI, Hamacek EL, Hancock DL, Hengsawad C, Jipanin CJ, Jirasurat M, Kong Krong C, Kritsaneepaiboon S, Leong CTS &amp; Vijaysegaran S (1999) Host plant records for fruit flies (Diptera: Tephritidae) in South East Asia. </w:t>
      </w:r>
      <w:r>
        <w:rPr>
          <w:rFonts w:ascii="Calibri" w:hAnsi="Calibri" w:eastAsia="Calibri" w:cs="Calibri"/>
          <w:i/>
          <w:iCs/>
          <w:color w:val="000000"/>
          <w:sz w:val="22"/>
          <w:szCs w:val="22"/>
        </w:rPr>
        <w:t xml:space="preserve">The Raffles Bulletin of Zoology suppl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1-92. </w:t>
      </w:r>
    </w:p>
    <w:p>
      <w:pPr>
        <w:widowControl w:val="on"/>
        <w:pBdr/>
        <w:spacing w:before="220" w:after="220" w:line="240" w:lineRule="auto"/>
        <w:ind w:left="0" w:right="0"/>
        <w:jc w:val="left"/>
      </w:pPr>
      <w:r>
        <w:rPr>
          <w:rFonts w:ascii="Calibri" w:hAnsi="Calibri" w:eastAsia="Calibri" w:cs="Calibri"/>
          <w:color w:val="000000"/>
          <w:sz w:val="22"/>
          <w:szCs w:val="22"/>
        </w:rPr>
        <w:t xml:space="preserve">Baker R, Gilioli G, Bering C, Candiani D, Gogin A, Kaluski T, Kinkar M, Mosbach-Schulz O, Neri FM, Preti S, Rosace MC, Siligato R, Stancanelli G &amp; Tramontini S (2019).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Pest report to support ranking of EU candidate priority pests. </w:t>
      </w:r>
      <w:r>
        <w:rPr>
          <w:rFonts w:ascii="Calibri" w:hAnsi="Calibri" w:eastAsia="Calibri" w:cs="Calibri"/>
          <w:i/>
          <w:iCs/>
          <w:color w:val="000000"/>
          <w:sz w:val="22"/>
          <w:szCs w:val="22"/>
        </w:rPr>
        <w:t xml:space="preserve">European Food Safety Authority</w:t>
      </w:r>
      <w:r>
        <w:rPr>
          <w:rFonts w:ascii="Calibri" w:hAnsi="Calibri" w:eastAsia="Calibri" w:cs="Calibri"/>
          <w:color w:val="000000"/>
          <w:sz w:val="22"/>
          <w:szCs w:val="22"/>
        </w:rPr>
        <w:t xml:space="preserve">, 39pp.</w:t>
      </w:r>
    </w:p>
    <w:p>
      <w:pPr>
        <w:widowControl w:val="on"/>
        <w:pBdr/>
        <w:spacing w:before="220" w:after="220" w:line="240" w:lineRule="auto"/>
        <w:ind w:left="0" w:right="0"/>
        <w:jc w:val="left"/>
      </w:pPr>
      <w:r>
        <w:rPr>
          <w:rFonts w:ascii="Calibri" w:hAnsi="Calibri" w:eastAsia="Calibri" w:cs="Calibri"/>
          <w:color w:val="000000"/>
          <w:sz w:val="22"/>
          <w:szCs w:val="22"/>
        </w:rPr>
        <w:t xml:space="preserve">Balmès V &amp; Mouttet R (2017) Development and validation of a simplified morphological identification key for larvae of tephritid species most commonly intercepted at import in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1995665a882c56957" w:history="1">
        <w:r>
          <w:rPr>
            <w:rFonts w:ascii="Calibri" w:hAnsi="Calibri" w:eastAsia="Calibri" w:cs="Calibri"/>
            <w:color w:val="0000CC"/>
            <w:sz w:val="22"/>
            <w:szCs w:val="22"/>
            <w:u w:val="single"/>
          </w:rPr>
          <w:t xml:space="preserve">https://www.delta-intkey.com/ffl/www/bac_zona.htm</w:t>
        </w:r>
      </w:hyperlink>
      <w:r>
        <w:rPr>
          <w:rFonts w:ascii="Calibri" w:hAnsi="Calibri" w:eastAsia="Calibri" w:cs="Calibri"/>
          <w:color w:val="000000"/>
          <w:sz w:val="22"/>
          <w:szCs w:val="22"/>
        </w:rPr>
        <w:t xml:space="preserve"> [accessed 22/11/2020]</w:t>
      </w:r>
    </w:p>
    <w:p>
      <w:pPr>
        <w:widowControl w:val="on"/>
        <w:pBdr/>
        <w:spacing w:before="220" w:after="220" w:line="240" w:lineRule="auto"/>
        <w:ind w:left="0" w:right="0"/>
        <w:jc w:val="left"/>
      </w:pPr>
      <w:r>
        <w:rPr>
          <w:rFonts w:ascii="Calibri" w:hAnsi="Calibri" w:eastAsia="Calibri" w:cs="Calibri"/>
          <w:color w:val="000000"/>
          <w:sz w:val="22"/>
          <w:szCs w:val="22"/>
        </w:rPr>
        <w:t xml:space="preserve">Cayol JP, Roessler Y, Weiss M, Bahdousheh M, Omari M, Hamalawi M &amp; Almughayyar A (2002) Fruit fly control and monitoring in the Near East: shared concern in a regional transboundary problem, in: Barnes, B.N. (Ed.), </w:t>
      </w:r>
      <w:r>
        <w:rPr>
          <w:rFonts w:ascii="Calibri" w:hAnsi="Calibri" w:eastAsia="Calibri" w:cs="Calibri"/>
          <w:i/>
          <w:iCs/>
          <w:color w:val="000000"/>
          <w:sz w:val="22"/>
          <w:szCs w:val="22"/>
        </w:rPr>
        <w:t xml:space="preserve">6th International fruit fly symposium</w:t>
      </w:r>
      <w:r>
        <w:rPr>
          <w:rFonts w:ascii="Calibri" w:hAnsi="Calibri" w:eastAsia="Calibri" w:cs="Calibri"/>
          <w:color w:val="000000"/>
          <w:sz w:val="22"/>
          <w:szCs w:val="22"/>
        </w:rPr>
        <w:t xml:space="preserve">. Isteg scientific publications, Stellenbosch, South Africa, pp. 155-171</w:t>
      </w:r>
    </w:p>
    <w:p>
      <w:pPr>
        <w:widowControl w:val="on"/>
        <w:pBdr/>
        <w:spacing w:before="220" w:after="220" w:line="240" w:lineRule="auto"/>
        <w:ind w:left="0" w:right="0"/>
        <w:jc w:val="left"/>
      </w:pPr>
      <w:r>
        <w:rPr>
          <w:rFonts w:ascii="Calibri" w:hAnsi="Calibri" w:eastAsia="Calibri" w:cs="Calibri"/>
          <w:color w:val="000000"/>
          <w:sz w:val="22"/>
          <w:szCs w:val="22"/>
        </w:rPr>
        <w:t xml:space="preserve">Culliney TW, Liquido NJ, McQuate GM, Hanlin MA, Tateno APK, Lee KLK, Birnbaum AL, Ching AJ, Nakamichi KA, Inskeep JR &amp; Marnell SA (2017). A review of recorded host plants of peach fruit fly,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zonata </w:t>
      </w:r>
      <w:r>
        <w:rPr>
          <w:rFonts w:ascii="Calibri" w:hAnsi="Calibri" w:eastAsia="Calibri" w:cs="Calibri"/>
          <w:color w:val="000000"/>
          <w:sz w:val="22"/>
          <w:szCs w:val="22"/>
        </w:rPr>
        <w:t xml:space="preserve">(Saunders) (Diptera: Tephritidae), Version 1.3. Available online at: </w:t>
      </w:r>
      <w:r>
        <w:rPr>
          <w:rFonts w:ascii="Calibri" w:hAnsi="Calibri" w:eastAsia="Calibri" w:cs="Calibri"/>
          <w:i/>
          <w:iCs/>
          <w:color w:val="000000"/>
          <w:sz w:val="22"/>
          <w:szCs w:val="22"/>
        </w:rPr>
        <w:t xml:space="preserve">USDA Compendium of Fruit Fly Host Information </w:t>
      </w:r>
      <w:r>
        <w:rPr>
          <w:rFonts w:ascii="Calibri" w:hAnsi="Calibri" w:eastAsia="Calibri" w:cs="Calibri"/>
          <w:color w:val="000000"/>
          <w:sz w:val="22"/>
          <w:szCs w:val="22"/>
        </w:rPr>
        <w:t xml:space="preserve">(CoFFHI), Edition 3.0, </w:t>
      </w:r>
      <w:hyperlink r:id="rId6269665a882c56a54"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22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November 2020] </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w:t>
      </w:r>
      <w:r>
        <w:rPr>
          <w:rFonts w:ascii="Calibri" w:hAnsi="Calibri" w:eastAsia="Calibri" w:cs="Calibri"/>
          <w:i/>
          <w:iCs/>
          <w:color w:val="000000"/>
          <w:sz w:val="22"/>
          <w:szCs w:val="22"/>
        </w:rPr>
        <w:t xml:space="preserve">Tropical Fruit Flies of South-East Asia</w:t>
      </w:r>
      <w:r>
        <w:rPr>
          <w:rFonts w:ascii="Calibri" w:hAnsi="Calibri" w:eastAsia="Calibri" w:cs="Calibri"/>
          <w:color w:val="000000"/>
          <w:sz w:val="22"/>
          <w:szCs w:val="22"/>
        </w:rPr>
        <w:t xml:space="preserve">. CABI, Wallingford (UK),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Duyck PF, Sterlin JF &amp; Quilici S (2004) Survival and development of different life stages of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(Diptera: Tephritidae) reared at five constant temperatures compared to other fruit fly species.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89-93.</w:t>
      </w:r>
    </w:p>
    <w:p>
      <w:pPr>
        <w:widowControl w:val="on"/>
        <w:pBdr/>
        <w:spacing w:before="220" w:after="220" w:line="240" w:lineRule="auto"/>
        <w:ind w:left="0" w:right="0"/>
        <w:jc w:val="left"/>
      </w:pPr>
      <w:r>
        <w:rPr>
          <w:rFonts w:ascii="Calibri" w:hAnsi="Calibri" w:eastAsia="Calibri" w:cs="Calibri"/>
          <w:color w:val="000000"/>
          <w:sz w:val="22"/>
          <w:szCs w:val="22"/>
        </w:rPr>
        <w:t xml:space="preserve">Duyck PF, David P &amp; Quilici S (2007) Can more K-selected species be better invaders? A case study of fruit flies in La Reunion. </w:t>
      </w:r>
      <w:r>
        <w:rPr>
          <w:rFonts w:ascii="Calibri" w:hAnsi="Calibri" w:eastAsia="Calibri" w:cs="Calibri"/>
          <w:i/>
          <w:iCs/>
          <w:color w:val="000000"/>
          <w:sz w:val="22"/>
          <w:szCs w:val="22"/>
        </w:rPr>
        <w:t xml:space="preserve">Diversity and Distributions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535-543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(2010) PM 9/11 (1):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procedure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390-395. </w:t>
      </w:r>
      <w:hyperlink r:id="rId3221665a882c56c20" w:history="1">
        <w:r>
          <w:rPr>
            <w:rFonts w:ascii="Calibri" w:hAnsi="Calibri" w:eastAsia="Calibri" w:cs="Calibri"/>
            <w:color w:val="0000CC"/>
            <w:sz w:val="22"/>
            <w:szCs w:val="22"/>
            <w:u w:val="single"/>
          </w:rPr>
          <w:t xml:space="preserve">https://doi.org/10.1111/j.1365-2338.2010.02421.x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PM 7/114 (1) </w:t>
      </w:r>
      <w:r>
        <w:rPr>
          <w:rFonts w:ascii="Calibri" w:hAnsi="Calibri" w:eastAsia="Calibri" w:cs="Calibri"/>
          <w:i/>
          <w:iCs/>
          <w:color w:val="000000"/>
          <w:sz w:val="22"/>
          <w:szCs w:val="22"/>
        </w:rPr>
        <w:t xml:space="preserve">Bactrocera zonata.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412-416. </w:t>
      </w:r>
      <w:hyperlink r:id="rId8086665a882c56c90" w:history="1">
        <w:r>
          <w:rPr>
            <w:rFonts w:ascii="Calibri" w:hAnsi="Calibri" w:eastAsia="Calibri" w:cs="Calibri"/>
            <w:color w:val="0000CC"/>
            <w:sz w:val="22"/>
            <w:szCs w:val="22"/>
            <w:u w:val="single"/>
          </w:rPr>
          <w:t xml:space="preserve">https://doi.org/10.1111/epp.12058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(USA) </w:t>
      </w:r>
    </w:p>
    <w:p>
      <w:pPr>
        <w:widowControl w:val="on"/>
        <w:pBdr/>
        <w:spacing w:before="220" w:after="220" w:line="240" w:lineRule="auto"/>
        <w:ind w:left="0" w:right="0"/>
        <w:jc w:val="left"/>
      </w:pPr>
      <w:r>
        <w:rPr>
          <w:rFonts w:ascii="Calibri" w:hAnsi="Calibri" w:eastAsia="Calibri" w:cs="Calibri"/>
          <w:color w:val="000000"/>
          <w:sz w:val="22"/>
          <w:szCs w:val="22"/>
        </w:rPr>
        <w:t xml:space="preserve">Kapoor VC (1993) </w:t>
      </w:r>
      <w:r>
        <w:rPr>
          <w:rFonts w:ascii="Calibri" w:hAnsi="Calibri" w:eastAsia="Calibri" w:cs="Calibri"/>
          <w:i/>
          <w:iCs/>
          <w:color w:val="000000"/>
          <w:sz w:val="22"/>
          <w:szCs w:val="22"/>
        </w:rPr>
        <w:t xml:space="preserve">Indian Fruit Flies (Insecta: Diptera: Tephritidae)</w:t>
      </w:r>
      <w:r>
        <w:rPr>
          <w:rFonts w:ascii="Calibri" w:hAnsi="Calibri" w:eastAsia="Calibri" w:cs="Calibri"/>
          <w:color w:val="000000"/>
          <w:sz w:val="22"/>
          <w:szCs w:val="22"/>
        </w:rPr>
        <w:t xml:space="preserve">. International Science Publisher, New York (USA), 228pp. </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ZA, Ashraf M, Bughio AR &amp; Siddiqui QH (1975) Population fluctuation and dispersal studies of the fruit fly,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zonatus Saunders. International Atomic Energy Agency; Food and Agriculture Organization: Sterility principle for insect control 1974. </w:t>
      </w:r>
      <w:r>
        <w:rPr>
          <w:rFonts w:ascii="Calibri" w:hAnsi="Calibri" w:eastAsia="Calibri" w:cs="Calibri"/>
          <w:i/>
          <w:iCs/>
          <w:color w:val="000000"/>
          <w:sz w:val="22"/>
          <w:szCs w:val="22"/>
        </w:rPr>
        <w:t xml:space="preserve">Proceedings of the Symposium on the sterility principle for insect control, Innsbruck</w:t>
      </w:r>
      <w:r>
        <w:rPr>
          <w:rFonts w:ascii="Calibri" w:hAnsi="Calibri" w:eastAsia="Calibri" w:cs="Calibri"/>
          <w:color w:val="000000"/>
          <w:sz w:val="22"/>
          <w:szCs w:val="22"/>
        </w:rPr>
        <w:t xml:space="preserve">, pp. 201-2016. </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ZA, Hussain T &amp; Siddiqui QH (1991) Relative preference of mango varieties by </w:t>
      </w:r>
      <w:r>
        <w:rPr>
          <w:rFonts w:ascii="Calibri" w:hAnsi="Calibri" w:eastAsia="Calibri" w:cs="Calibri"/>
          <w:i/>
          <w:iCs/>
          <w:color w:val="000000"/>
          <w:sz w:val="22"/>
          <w:szCs w:val="22"/>
        </w:rPr>
        <w:t xml:space="preserve">Dacus zonatus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Pakistan Journal of Zoology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85–87.</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Z, Hussain T, Carey JR &amp; Dowell RV (1993) Effects of temperature on development of </w:t>
      </w:r>
      <w:r>
        <w:rPr>
          <w:rFonts w:ascii="Calibri" w:hAnsi="Calibri" w:eastAsia="Calibri" w:cs="Calibri"/>
          <w:i/>
          <w:iCs/>
          <w:color w:val="000000"/>
          <w:sz w:val="22"/>
          <w:szCs w:val="22"/>
        </w:rPr>
        <w:t xml:space="preserve">Bactrocera zonata </w:t>
      </w:r>
      <w:r>
        <w:rPr>
          <w:rFonts w:ascii="Calibri" w:hAnsi="Calibri" w:eastAsia="Calibri" w:cs="Calibri"/>
          <w:color w:val="000000"/>
          <w:sz w:val="22"/>
          <w:szCs w:val="22"/>
        </w:rPr>
        <w:t xml:space="preserve">(Saunders) (Diptera: Tephritidae).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71-76. </w:t>
      </w:r>
    </w:p>
    <w:p>
      <w:pPr>
        <w:widowControl w:val="on"/>
        <w:pBdr/>
        <w:spacing w:before="220" w:after="220" w:line="240" w:lineRule="auto"/>
        <w:ind w:left="0" w:right="0"/>
        <w:jc w:val="left"/>
      </w:pPr>
      <w:r>
        <w:rPr>
          <w:rFonts w:ascii="Calibri" w:hAnsi="Calibri" w:eastAsia="Calibri" w:cs="Calibri"/>
          <w:color w:val="000000"/>
          <w:sz w:val="22"/>
          <w:szCs w:val="22"/>
        </w:rPr>
        <w:t xml:space="preserve">Rahman O, Rahman S &amp; Agarwal ML (1993) Biology and immature stage of </w:t>
      </w:r>
      <w:r>
        <w:rPr>
          <w:rFonts w:ascii="Calibri" w:hAnsi="Calibri" w:eastAsia="Calibri" w:cs="Calibri"/>
          <w:i/>
          <w:iCs/>
          <w:color w:val="000000"/>
          <w:sz w:val="22"/>
          <w:szCs w:val="22"/>
        </w:rPr>
        <w:t xml:space="preserve">Dacus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zonatus </w:t>
      </w:r>
      <w:r>
        <w:rPr>
          <w:rFonts w:ascii="Calibri" w:hAnsi="Calibri" w:eastAsia="Calibri" w:cs="Calibri"/>
          <w:color w:val="000000"/>
          <w:sz w:val="22"/>
          <w:szCs w:val="22"/>
        </w:rPr>
        <w:t xml:space="preserve">(Saunders) (Diptera: Tephritidae). </w:t>
      </w:r>
      <w:r>
        <w:rPr>
          <w:rFonts w:ascii="Calibri" w:hAnsi="Calibri" w:eastAsia="Calibri" w:cs="Calibri"/>
          <w:i/>
          <w:iCs/>
          <w:color w:val="000000"/>
          <w:sz w:val="22"/>
          <w:szCs w:val="22"/>
        </w:rPr>
        <w:t xml:space="preserve">Journal of Animal Morphology and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45-52. </w:t>
      </w:r>
    </w:p>
    <w:p>
      <w:pPr>
        <w:widowControl w:val="on"/>
        <w:pBdr/>
        <w:spacing w:before="220" w:after="220" w:line="240" w:lineRule="auto"/>
        <w:ind w:left="0" w:right="0"/>
        <w:jc w:val="left"/>
      </w:pPr>
      <w:r>
        <w:rPr>
          <w:rFonts w:ascii="Calibri" w:hAnsi="Calibri" w:eastAsia="Calibri" w:cs="Calibri"/>
          <w:color w:val="000000"/>
          <w:sz w:val="22"/>
          <w:szCs w:val="22"/>
        </w:rPr>
        <w:t xml:space="preserve">Saafan MH, Fod SM &amp; Abdel-Hafez TA (2005) Ecological studies of flies on different hosts at Fayoum Governorate. 3 - Ecological studies of Mediterranean fruit fly,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(Wied.) and Peach fruit fly, </w:t>
      </w:r>
      <w:r>
        <w:rPr>
          <w:rFonts w:ascii="Calibri" w:hAnsi="Calibri" w:eastAsia="Calibri" w:cs="Calibri"/>
          <w:i/>
          <w:iCs/>
          <w:color w:val="000000"/>
          <w:sz w:val="22"/>
          <w:szCs w:val="22"/>
        </w:rPr>
        <w:t xml:space="preserve">Bectrocera zonata</w:t>
      </w:r>
      <w:r>
        <w:rPr>
          <w:rFonts w:ascii="Calibri" w:hAnsi="Calibri" w:eastAsia="Calibri" w:cs="Calibri"/>
          <w:color w:val="000000"/>
          <w:sz w:val="22"/>
          <w:szCs w:val="22"/>
        </w:rPr>
        <w:t xml:space="preserve"> (Saund.) in apricot orchards. </w:t>
      </w:r>
      <w:r>
        <w:rPr>
          <w:rFonts w:ascii="Calibri" w:hAnsi="Calibri" w:eastAsia="Calibri" w:cs="Calibri"/>
          <w:i/>
          <w:iCs/>
          <w:color w:val="000000"/>
          <w:sz w:val="22"/>
          <w:szCs w:val="22"/>
        </w:rPr>
        <w:t xml:space="preserve">Egyptian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1635-1648.</w:t>
      </w:r>
    </w:p>
    <w:p>
      <w:pPr>
        <w:widowControl w:val="on"/>
        <w:pBdr/>
        <w:spacing w:before="220" w:after="220" w:line="240" w:lineRule="auto"/>
        <w:ind w:left="0" w:right="0"/>
        <w:jc w:val="left"/>
      </w:pPr>
      <w:r>
        <w:rPr>
          <w:rFonts w:ascii="Calibri" w:hAnsi="Calibri" w:eastAsia="Calibri" w:cs="Calibri"/>
          <w:color w:val="000000"/>
          <w:sz w:val="22"/>
          <w:szCs w:val="22"/>
        </w:rPr>
        <w:t xml:space="preserve">Siddiqui QH, Ahmad N, Shah Rashdi SMM &amp; Niazi S (2003) Effect of time of the day and trap height on the catches of peach/guava fruit flies,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(Saunders) through Male Annihilation Technique. Asian </w:t>
      </w:r>
      <w:r>
        <w:rPr>
          <w:rFonts w:ascii="Calibri" w:hAnsi="Calibri" w:eastAsia="Calibri" w:cs="Calibri"/>
          <w:i/>
          <w:iCs/>
          <w:color w:val="000000"/>
          <w:sz w:val="22"/>
          <w:szCs w:val="22"/>
        </w:rPr>
        <w:t xml:space="preserve">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228-232.</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 &amp; Sharma D (2016) Integrated pest management for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(Hendel) and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(Saunders) on Kinnow mandarin in the Indian Punjab.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ISFFEI,</w:t>
      </w:r>
      <w:r>
        <w:rPr>
          <w:rFonts w:ascii="Calibri" w:hAnsi="Calibri" w:eastAsia="Calibri" w:cs="Calibri"/>
          <w:color w:val="000000"/>
          <w:sz w:val="22"/>
          <w:szCs w:val="22"/>
        </w:rPr>
        <w:t xml:space="preserve"> 172-183.</w:t>
      </w:r>
    </w:p>
    <w:p>
      <w:pPr>
        <w:widowControl w:val="on"/>
        <w:pBdr/>
        <w:spacing w:before="220" w:after="220" w:line="240" w:lineRule="auto"/>
        <w:ind w:left="0" w:right="0"/>
        <w:jc w:val="left"/>
      </w:pPr>
      <w:r>
        <w:rPr>
          <w:rFonts w:ascii="Calibri" w:hAnsi="Calibri" w:eastAsia="Calibri" w:cs="Calibri"/>
          <w:color w:val="000000"/>
          <w:sz w:val="22"/>
          <w:szCs w:val="22"/>
        </w:rPr>
        <w:t xml:space="preserve">Tsuruta K, White IM, Bandara HMJ, Rajapakse H, Sundaraperuma SAH, Kahawatta SBMUC &amp; Rajapakse GBJP (1997) A preliminary notes on the host-plants of fruit flies of the tribe Dacini (Diptera, Tephritidae) in Sri Lanka. </w:t>
      </w:r>
      <w:r>
        <w:rPr>
          <w:rFonts w:ascii="Calibri" w:hAnsi="Calibri" w:eastAsia="Calibri" w:cs="Calibri"/>
          <w:i/>
          <w:iCs/>
          <w:color w:val="000000"/>
          <w:sz w:val="22"/>
          <w:szCs w:val="22"/>
        </w:rPr>
        <w:t xml:space="preserve">Esakia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149-160.</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(2006) Taxonomy of the Dacina (Diptera: Tephritidae) of Africa and the Middle East. </w:t>
      </w:r>
      <w:r>
        <w:rPr>
          <w:rFonts w:ascii="Calibri" w:hAnsi="Calibri" w:eastAsia="Calibri" w:cs="Calibri"/>
          <w:i/>
          <w:iCs/>
          <w:color w:val="000000"/>
          <w:sz w:val="22"/>
          <w:szCs w:val="22"/>
        </w:rPr>
        <w:t xml:space="preserve">African Entomology Memoir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156pp.</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5629665a882c572d0" w:history="1">
        <w:r>
          <w:rPr>
            <w:rFonts w:ascii="Calibri" w:hAnsi="Calibri" w:eastAsia="Calibri" w:cs="Calibri"/>
            <w:color w:val="0000CC"/>
            <w:sz w:val="22"/>
            <w:szCs w:val="22"/>
            <w:u w:val="single"/>
          </w:rPr>
          <w:t xml:space="preserve">https://www.cabi.org/isc/datasheet/17694</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EPPO datasheets on pests recommended for regulation. Available online. </w:t>
      </w:r>
      <w:hyperlink r:id="rId1801665a882c5738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2005 and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9732665a882c574ef" w:history="1">
        <w:r>
          <w:rPr>
            <w:rFonts w:ascii="Calibri" w:hAnsi="Calibri" w:eastAsia="Calibri" w:cs="Calibri"/>
            <w:color w:val="0000CC"/>
            <w:sz w:val="22"/>
            <w:szCs w:val="22"/>
            <w:u w:val="single"/>
          </w:rPr>
          <w:t xml:space="preserve">https://doi.org/10.1111/j.1365-2338.1983.tb01715.x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Bactrocera zonata.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371-373. </w:t>
      </w:r>
      <w:hyperlink r:id="rId9289665a882c5758e" w:history="1">
        <w:r>
          <w:rPr>
            <w:rFonts w:ascii="Calibri" w:hAnsi="Calibri" w:eastAsia="Calibri" w:cs="Calibri"/>
            <w:color w:val="0000CC"/>
            <w:sz w:val="22"/>
            <w:szCs w:val="22"/>
            <w:u w:val="single"/>
          </w:rPr>
          <w:t xml:space="preserve">https://doi.org/10.1111/j.1365-2338.2005.00848.x</w:t>
        </w:r>
      </w:hyperlink>
      <w:r>
        <w:rPr>
          <w:rFonts w:ascii="Calibri" w:hAnsi="Calibri" w:eastAsia="Calibri" w:cs="Calibri"/>
          <w:color w:val="000000"/>
          <w:sz w:val="22"/>
          <w:szCs w:val="22"/>
        </w:rPr>
        <w:t xml:space="preserve"> </w:t>
      </w:r>
    </w:p>
    <w:p>
      <w:r>
        <w:drawing>
          <wp:inline distT="0" distB="0" distL="0" distR="0">
            <wp:extent cx="1800000" cy="604800"/>
            <wp:docPr id="94865984" name="name6842665a882c575f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221665a882c575f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118593">
    <w:multiLevelType w:val="hybridMultilevel"/>
    <w:lvl w:ilvl="0" w:tplc="19378836">
      <w:start w:val="1"/>
      <w:numFmt w:val="decimal"/>
      <w:lvlText w:val="%1."/>
      <w:lvlJc w:val="left"/>
      <w:pPr>
        <w:ind w:left="720" w:hanging="360"/>
      </w:pPr>
    </w:lvl>
    <w:lvl w:ilvl="1" w:tplc="19378836" w:tentative="1">
      <w:start w:val="1"/>
      <w:numFmt w:val="lowerLetter"/>
      <w:lvlText w:val="%2."/>
      <w:lvlJc w:val="left"/>
      <w:pPr>
        <w:ind w:left="1440" w:hanging="360"/>
      </w:pPr>
    </w:lvl>
    <w:lvl w:ilvl="2" w:tplc="19378836" w:tentative="1">
      <w:start w:val="1"/>
      <w:numFmt w:val="lowerRoman"/>
      <w:lvlText w:val="%3."/>
      <w:lvlJc w:val="right"/>
      <w:pPr>
        <w:ind w:left="2160" w:hanging="180"/>
      </w:pPr>
    </w:lvl>
    <w:lvl w:ilvl="3" w:tplc="19378836" w:tentative="1">
      <w:start w:val="1"/>
      <w:numFmt w:val="decimal"/>
      <w:lvlText w:val="%4."/>
      <w:lvlJc w:val="left"/>
      <w:pPr>
        <w:ind w:left="2880" w:hanging="360"/>
      </w:pPr>
    </w:lvl>
    <w:lvl w:ilvl="4" w:tplc="19378836" w:tentative="1">
      <w:start w:val="1"/>
      <w:numFmt w:val="lowerLetter"/>
      <w:lvlText w:val="%5."/>
      <w:lvlJc w:val="left"/>
      <w:pPr>
        <w:ind w:left="3600" w:hanging="360"/>
      </w:pPr>
    </w:lvl>
    <w:lvl w:ilvl="5" w:tplc="19378836" w:tentative="1">
      <w:start w:val="1"/>
      <w:numFmt w:val="lowerRoman"/>
      <w:lvlText w:val="%6."/>
      <w:lvlJc w:val="right"/>
      <w:pPr>
        <w:ind w:left="4320" w:hanging="180"/>
      </w:pPr>
    </w:lvl>
    <w:lvl w:ilvl="6" w:tplc="19378836" w:tentative="1">
      <w:start w:val="1"/>
      <w:numFmt w:val="decimal"/>
      <w:lvlText w:val="%7."/>
      <w:lvlJc w:val="left"/>
      <w:pPr>
        <w:ind w:left="5040" w:hanging="360"/>
      </w:pPr>
    </w:lvl>
    <w:lvl w:ilvl="7" w:tplc="19378836" w:tentative="1">
      <w:start w:val="1"/>
      <w:numFmt w:val="lowerLetter"/>
      <w:lvlText w:val="%8."/>
      <w:lvlJc w:val="left"/>
      <w:pPr>
        <w:ind w:left="5760" w:hanging="360"/>
      </w:pPr>
    </w:lvl>
    <w:lvl w:ilvl="8" w:tplc="19378836" w:tentative="1">
      <w:start w:val="1"/>
      <w:numFmt w:val="lowerRoman"/>
      <w:lvlText w:val="%9."/>
      <w:lvlJc w:val="right"/>
      <w:pPr>
        <w:ind w:left="6480" w:hanging="180"/>
      </w:pPr>
    </w:lvl>
  </w:abstractNum>
  <w:abstractNum w:abstractNumId="79118592">
    <w:multiLevelType w:val="hybridMultilevel"/>
    <w:lvl w:ilvl="0" w:tplc="290373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118592">
    <w:abstractNumId w:val="79118592"/>
  </w:num>
  <w:num w:numId="79118593">
    <w:abstractNumId w:val="7911859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6221989" Type="http://schemas.microsoft.com/office/2011/relationships/commentsExtended" Target="commentsExtended.xml"/><Relationship Id="rId267212789" Type="http://schemas.microsoft.com/office/2011/relationships/people" Target="people.xml"/><Relationship Id="rId4700665a882c544f8" Type="http://schemas.openxmlformats.org/officeDocument/2006/relationships/hyperlink" Target="https://gd.eppo.int/taxon/DACUZO/" TargetMode="External"/><Relationship Id="rId9729665a882c54562" Type="http://schemas.openxmlformats.org/officeDocument/2006/relationships/hyperlink" Target="https://gd.eppo.int/taxon/DACUZO/categorization" TargetMode="External"/><Relationship Id="rId4897665a882c54756" Type="http://schemas.openxmlformats.org/officeDocument/2006/relationships/hyperlink" Target="https://gd.eppo.int/taxon/DACUZO/photos" TargetMode="External"/><Relationship Id="rId5510665a882c560e9" Type="http://schemas.openxmlformats.org/officeDocument/2006/relationships/hyperlink" Target="http://www.boldsystems.org/index.php/Taxbrowser_Taxonpage?taxon=Bactrocera+zonata&amp;searchTax=" TargetMode="External"/><Relationship Id="rId3771665a882c5614b" Type="http://schemas.openxmlformats.org/officeDocument/2006/relationships/hyperlink" Target="https://qbank.eppo.int/arthropods/taxon/DACUZO/" TargetMode="External"/><Relationship Id="rId1995665a882c56957" Type="http://schemas.openxmlformats.org/officeDocument/2006/relationships/hyperlink" Target="https://www.delta-intkey.com/ffl/www/bac_zona.htm" TargetMode="External"/><Relationship Id="rId6269665a882c56a54" Type="http://schemas.openxmlformats.org/officeDocument/2006/relationships/hyperlink" Target="https://coffhi.cphst.org/" TargetMode="External"/><Relationship Id="rId3221665a882c56c20" Type="http://schemas.openxmlformats.org/officeDocument/2006/relationships/hyperlink" Target="https://doi.org/10.1111/j.1365-2338.2010.02421.x" TargetMode="External"/><Relationship Id="rId8086665a882c56c90" Type="http://schemas.openxmlformats.org/officeDocument/2006/relationships/hyperlink" Target="https://doi.org/10.1111/epp.12058" TargetMode="External"/><Relationship Id="rId5629665a882c572d0" Type="http://schemas.openxmlformats.org/officeDocument/2006/relationships/hyperlink" Target="https://www.cabi.org/isc/datasheet/17694" TargetMode="External"/><Relationship Id="rId1801665a882c57389" Type="http://schemas.openxmlformats.org/officeDocument/2006/relationships/hyperlink" Target="https://gd.eppo.int" TargetMode="External"/><Relationship Id="rId9732665a882c574ef" Type="http://schemas.openxmlformats.org/officeDocument/2006/relationships/hyperlink" Target="https://doi.org/10.1111/j.1365-2338.1983.tb01715.x" TargetMode="External"/><Relationship Id="rId9289665a882c5758e" Type="http://schemas.openxmlformats.org/officeDocument/2006/relationships/hyperlink" Target="https://doi.org/10.1111/j.1365-2338.2005.00848.x" TargetMode="External"/><Relationship Id="rId6382665a882c54633" Type="http://schemas.openxmlformats.org/officeDocument/2006/relationships/image" Target="media/imgrId6382665a882c54633.jpg"/><Relationship Id="rId6073665a882c55b06" Type="http://schemas.openxmlformats.org/officeDocument/2006/relationships/image" Target="media/imgrId6073665a882c55b06.jpg"/><Relationship Id="rId5221665a882c575f5" Type="http://schemas.openxmlformats.org/officeDocument/2006/relationships/image" Target="media/imgrId5221665a882c575f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