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Bactrocera dorsalis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2021-04-28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dorsalis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(Hendel)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invadens</w:t>
            </w:r>
            <w:r>
              <w:rPr>
                <w:rFonts w:ascii="Calibri" w:hAnsi="Calibri" w:eastAsia="Calibri" w:cs="Calibri"/>
                <w:color w:val="000000"/>
                <w:position w:val="-3"/>
                <w:sz w:val="22"/>
                <w:szCs w:val="22"/>
              </w:rPr>
              <w:t xml:space="preserve"> Drew, Tsuruta &amp; White, </w:t>
            </w:r>
            <w:r>
              <w:rPr>
                <w:rFonts w:ascii="Calibri" w:hAnsi="Calibri" w:eastAsia="Calibri" w:cs="Calibri"/>
                <w:i/>
                <w:iCs/>
                <w:color w:val="000000"/>
                <w:position w:val="-3"/>
                <w:sz w:val="22"/>
                <w:szCs w:val="22"/>
              </w:rPr>
              <w:t xml:space="preserve">Bactrocera papayae</w:t>
            </w:r>
            <w:r>
              <w:rPr>
                <w:rFonts w:ascii="Calibri" w:hAnsi="Calibri" w:eastAsia="Calibri" w:cs="Calibri"/>
                <w:color w:val="000000"/>
                <w:position w:val="-3"/>
                <w:sz w:val="22"/>
                <w:szCs w:val="22"/>
              </w:rPr>
              <w:t xml:space="preserve"> Drew &amp; Hancock, </w:t>
            </w:r>
            <w:r>
              <w:rPr>
                <w:rFonts w:ascii="Calibri" w:hAnsi="Calibri" w:eastAsia="Calibri" w:cs="Calibri"/>
                <w:i/>
                <w:iCs/>
                <w:color w:val="000000"/>
                <w:position w:val="-3"/>
                <w:sz w:val="22"/>
                <w:szCs w:val="22"/>
              </w:rPr>
              <w:t xml:space="preserve">Bactrocera philippinensis</w:t>
            </w:r>
            <w:r>
              <w:rPr>
                <w:rFonts w:ascii="Calibri" w:hAnsi="Calibri" w:eastAsia="Calibri" w:cs="Calibri"/>
                <w:color w:val="000000"/>
                <w:position w:val="-3"/>
                <w:sz w:val="22"/>
                <w:szCs w:val="22"/>
              </w:rPr>
              <w:t xml:space="preserve"> Drew &amp; Hancock, </w:t>
            </w:r>
            <w:r>
              <w:rPr>
                <w:rFonts w:ascii="Calibri" w:hAnsi="Calibri" w:eastAsia="Calibri" w:cs="Calibri"/>
                <w:i/>
                <w:iCs/>
                <w:color w:val="000000"/>
                <w:position w:val="-3"/>
                <w:sz w:val="22"/>
                <w:szCs w:val="22"/>
              </w:rPr>
              <w:t xml:space="preserve">Chaetodacus dorsalis</w:t>
            </w:r>
            <w:r>
              <w:rPr>
                <w:rFonts w:ascii="Calibri" w:hAnsi="Calibri" w:eastAsia="Calibri" w:cs="Calibri"/>
                <w:color w:val="000000"/>
                <w:position w:val="-3"/>
                <w:sz w:val="22"/>
                <w:szCs w:val="22"/>
              </w:rPr>
              <w:t xml:space="preserve"> (Hendel), </w:t>
            </w:r>
            <w:r>
              <w:rPr>
                <w:rFonts w:ascii="Calibri" w:hAnsi="Calibri" w:eastAsia="Calibri" w:cs="Calibri"/>
                <w:i/>
                <w:iCs/>
                <w:color w:val="000000"/>
                <w:position w:val="-3"/>
                <w:sz w:val="22"/>
                <w:szCs w:val="22"/>
              </w:rPr>
              <w:t xml:space="preserve">Chaetodacus ferrugineus dorsalis</w:t>
            </w:r>
            <w:r>
              <w:rPr>
                <w:rFonts w:ascii="Calibri" w:hAnsi="Calibri" w:eastAsia="Calibri" w:cs="Calibri"/>
                <w:color w:val="000000"/>
                <w:position w:val="-3"/>
                <w:sz w:val="22"/>
                <w:szCs w:val="22"/>
              </w:rPr>
              <w:t xml:space="preserve"> (Hendel), </w:t>
            </w:r>
            <w:r>
              <w:rPr>
                <w:rFonts w:ascii="Calibri" w:hAnsi="Calibri" w:eastAsia="Calibri" w:cs="Calibri"/>
                <w:i/>
                <w:iCs/>
                <w:color w:val="000000"/>
                <w:position w:val="-3"/>
                <w:sz w:val="22"/>
                <w:szCs w:val="22"/>
              </w:rPr>
              <w:t xml:space="preserve">Chaetodacus ferrugineus okinawanus</w:t>
            </w:r>
            <w:r>
              <w:rPr>
                <w:rFonts w:ascii="Calibri" w:hAnsi="Calibri" w:eastAsia="Calibri" w:cs="Calibri"/>
                <w:color w:val="000000"/>
                <w:position w:val="-3"/>
                <w:sz w:val="22"/>
                <w:szCs w:val="22"/>
              </w:rPr>
              <w:t xml:space="preserve"> Shiraki, </w:t>
            </w:r>
            <w:r>
              <w:rPr>
                <w:rFonts w:ascii="Calibri" w:hAnsi="Calibri" w:eastAsia="Calibri" w:cs="Calibri"/>
                <w:i/>
                <w:iCs/>
                <w:color w:val="000000"/>
                <w:position w:val="-3"/>
                <w:sz w:val="22"/>
                <w:szCs w:val="22"/>
              </w:rPr>
              <w:t xml:space="preserve">Chaetodacus ferrugineus</w:t>
            </w:r>
            <w:r>
              <w:rPr>
                <w:rFonts w:ascii="Calibri" w:hAnsi="Calibri" w:eastAsia="Calibri" w:cs="Calibri"/>
                <w:color w:val="000000"/>
                <w:position w:val="-3"/>
                <w:sz w:val="22"/>
                <w:szCs w:val="22"/>
              </w:rPr>
              <w:t xml:space="preserve"> (Fabricius), </w:t>
            </w:r>
            <w:r>
              <w:rPr>
                <w:rFonts w:ascii="Calibri" w:hAnsi="Calibri" w:eastAsia="Calibri" w:cs="Calibri"/>
                <w:i/>
                <w:iCs/>
                <w:color w:val="000000"/>
                <w:position w:val="-3"/>
                <w:sz w:val="22"/>
                <w:szCs w:val="22"/>
              </w:rPr>
              <w:t xml:space="preserve">Dacus dorsalis</w:t>
            </w:r>
            <w:r>
              <w:rPr>
                <w:rFonts w:ascii="Calibri" w:hAnsi="Calibri" w:eastAsia="Calibri" w:cs="Calibri"/>
                <w:color w:val="000000"/>
                <w:position w:val="-3"/>
                <w:sz w:val="22"/>
                <w:szCs w:val="22"/>
              </w:rPr>
              <w:t xml:space="preserve"> Hendel, </w:t>
            </w:r>
            <w:r>
              <w:rPr>
                <w:rFonts w:ascii="Calibri" w:hAnsi="Calibri" w:eastAsia="Calibri" w:cs="Calibri"/>
                <w:i/>
                <w:iCs/>
                <w:color w:val="000000"/>
                <w:position w:val="-3"/>
                <w:sz w:val="22"/>
                <w:szCs w:val="22"/>
              </w:rPr>
              <w:t xml:space="preserve">Dacus ferrugineus dorsalis</w:t>
            </w:r>
            <w:r>
              <w:rPr>
                <w:rFonts w:ascii="Calibri" w:hAnsi="Calibri" w:eastAsia="Calibri" w:cs="Calibri"/>
                <w:color w:val="000000"/>
                <w:position w:val="-3"/>
                <w:sz w:val="22"/>
                <w:szCs w:val="22"/>
              </w:rPr>
              <w:t xml:space="preserve"> Hendel, </w:t>
            </w:r>
            <w:r>
              <w:rPr>
                <w:rFonts w:ascii="Calibri" w:hAnsi="Calibri" w:eastAsia="Calibri" w:cs="Calibri"/>
                <w:i/>
                <w:iCs/>
                <w:color w:val="000000"/>
                <w:position w:val="-3"/>
                <w:sz w:val="22"/>
                <w:szCs w:val="22"/>
              </w:rPr>
              <w:t xml:space="preserve">Dacus ferrugineus okinawanus</w:t>
            </w:r>
            <w:r>
              <w:rPr>
                <w:rFonts w:ascii="Calibri" w:hAnsi="Calibri" w:eastAsia="Calibri" w:cs="Calibri"/>
                <w:color w:val="000000"/>
                <w:position w:val="-3"/>
                <w:sz w:val="22"/>
                <w:szCs w:val="22"/>
              </w:rPr>
              <w:t xml:space="preserve"> Shiraki, </w:t>
            </w:r>
            <w:r>
              <w:rPr>
                <w:rFonts w:ascii="Calibri" w:hAnsi="Calibri" w:eastAsia="Calibri" w:cs="Calibri"/>
                <w:i/>
                <w:iCs/>
                <w:color w:val="000000"/>
                <w:position w:val="-3"/>
                <w:sz w:val="22"/>
                <w:szCs w:val="22"/>
              </w:rPr>
              <w:t xml:space="preserve">Dacus ferrugineus</w:t>
            </w:r>
            <w:r>
              <w:rPr>
                <w:rFonts w:ascii="Calibri" w:hAnsi="Calibri" w:eastAsia="Calibri" w:cs="Calibri"/>
                <w:color w:val="000000"/>
                <w:position w:val="-3"/>
                <w:sz w:val="22"/>
                <w:szCs w:val="22"/>
              </w:rPr>
              <w:t xml:space="preserve"> Fabricius, </w:t>
            </w:r>
            <w:r>
              <w:rPr>
                <w:rFonts w:ascii="Calibri" w:hAnsi="Calibri" w:eastAsia="Calibri" w:cs="Calibri"/>
                <w:i/>
                <w:iCs/>
                <w:color w:val="000000"/>
                <w:position w:val="-3"/>
                <w:sz w:val="22"/>
                <w:szCs w:val="22"/>
              </w:rPr>
              <w:t xml:space="preserve">Strumeta dorsalis</w:t>
            </w:r>
            <w:r>
              <w:rPr>
                <w:rFonts w:ascii="Calibri" w:hAnsi="Calibri" w:eastAsia="Calibri" w:cs="Calibri"/>
                <w:color w:val="000000"/>
                <w:position w:val="-3"/>
                <w:sz w:val="22"/>
                <w:szCs w:val="22"/>
              </w:rPr>
              <w:t xml:space="preserve"> (Hendel)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oriental fruit fly</w:t>
            </w:r>
            <w:hyperlink r:id="rId1696664b0c9073a7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782664b0c9073ae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DACUDO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5246916" name="name3797664b0c9074383" descr="14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36.jpg"/>
                          <pic:cNvPicPr/>
                        </pic:nvPicPr>
                        <pic:blipFill>
                          <a:blip r:embed="rId3393664b0c9074380" cstate="print"/>
                          <a:stretch>
                            <a:fillRect/>
                          </a:stretch>
                        </pic:blipFill>
                        <pic:spPr>
                          <a:xfrm>
                            <a:off x="0" y="0"/>
                            <a:ext cx="2160000" cy="1281600"/>
                          </a:xfrm>
                          <a:prstGeom prst="rect">
                            <a:avLst/>
                          </a:prstGeom>
                          <a:ln w="0">
                            <a:noFill/>
                          </a:ln>
                        </pic:spPr>
                      </pic:pic>
                    </a:graphicData>
                  </a:graphic>
                </wp:inline>
              </w:drawing>
            </w:r>
            <w:hyperlink r:id="rId8045664b0c90744c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forms part of a species complex, within which over 50 species have been described in Asia. Many earlier records of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from Southern India, Indonesia, Malaysia, the Philippines and Sri Lanka are based on misidentifications of what are now (Drew &amp; Hancock, 1994) known to be other species.  However, some of these taxa previously described as distinct taxa, i.e.</w:t>
      </w:r>
      <w:r>
        <w:rPr>
          <w:rFonts w:ascii="Calibri" w:hAnsi="Calibri" w:eastAsia="Calibri" w:cs="Calibri"/>
          <w:i/>
          <w:iCs/>
          <w:color w:val="000000"/>
          <w:sz w:val="22"/>
          <w:szCs w:val="22"/>
        </w:rPr>
        <w:t xml:space="preserve"> B. invadens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 papayae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philippinensis</w:t>
      </w:r>
      <w:r>
        <w:rPr>
          <w:rFonts w:ascii="Calibri" w:hAnsi="Calibri" w:eastAsia="Calibri" w:cs="Calibri"/>
          <w:color w:val="000000"/>
          <w:sz w:val="22"/>
          <w:szCs w:val="22"/>
        </w:rPr>
        <w:t xml:space="preserve"> are considered as being synonymous (see Schutze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Part of the literature prior to 2015 will have been published under the junior names in particular with reference to studies in Africa under </w:t>
      </w:r>
      <w:r>
        <w:rPr>
          <w:rFonts w:ascii="Calibri" w:hAnsi="Calibri" w:eastAsia="Calibri" w:cs="Calibri"/>
          <w:i/>
          <w:iCs/>
          <w:color w:val="000000"/>
          <w:sz w:val="22"/>
          <w:szCs w:val="22"/>
        </w:rPr>
        <w:t xml:space="preserve">B. invadens</w:t>
      </w:r>
      <w:r>
        <w:rPr>
          <w:rFonts w:ascii="Calibri" w:hAnsi="Calibri" w:eastAsia="Calibri" w:cs="Calibri"/>
          <w:color w:val="000000"/>
          <w:sz w:val="22"/>
          <w:szCs w:val="22"/>
        </w:rPr>
        <w:t xml:space="preserve">. Some researchers (Drew &amp; Romig, 2013; 2016), however, still consider </w:t>
      </w:r>
      <w:r>
        <w:rPr>
          <w:rFonts w:ascii="Calibri" w:hAnsi="Calibri" w:eastAsia="Calibri" w:cs="Calibri"/>
          <w:i/>
          <w:iCs/>
          <w:color w:val="000000"/>
          <w:sz w:val="22"/>
          <w:szCs w:val="22"/>
        </w:rPr>
        <w:t xml:space="preserve">B. papaya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 invadens </w:t>
      </w:r>
      <w:r>
        <w:rPr>
          <w:rFonts w:ascii="Calibri" w:hAnsi="Calibri" w:eastAsia="Calibri" w:cs="Calibri"/>
          <w:color w:val="000000"/>
          <w:sz w:val="22"/>
          <w:szCs w:val="22"/>
        </w:rPr>
        <w:t xml:space="preserve">to be valid species, different from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is one of the most polyphagous fruit fly species, recorded from close to 450 different hosts worldwide, belonging to 80 plant families. In addition, it is associated with a large number of other plant taxa for which the host status is not certain. The USDA Compendium of Fruit Fly Host Information (CoFFHI) (Liquido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provides an extensive host list with detailed references. While some fruits (e.g. banana, mangosteen, papaya) are listed as a hosts, it was shown that factors such as ripeness or condition (damaged versus undamaged) can affect the oviposition success of females and the survival of larvae (Cugala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2017; Unahawutti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Acca sellowiana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fulvicoma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Adenanthera pavonina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Adenia cissampeloides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Adonidia merrillii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Aegle marmelos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Afzelia xylocarpa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Alangium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Alangium salviifolium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Alpinia mutica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Ananas comosus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macroprophyllata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montana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senegalensis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Antiaris toxicaria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Antidesma ghaesembilla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Aphloia theiformis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Aporosa villosa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Ardisia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Areca catechu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Arenga engleri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Arenga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Arenga westerhoutii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Artabotrys monteiroae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Artabotrys siamensis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altilis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chama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elasticus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heterophyllus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integer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lacucha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lanceifolius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nitidus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odoratissimus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rigidus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sericicarpus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bilimbi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Azadirachta excelsa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Baccaurea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Baccaurea motleyana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Baccaurea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Baccaurea ramiflora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Bactris gasipaes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Balakata baccata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Barringtonia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Benincasa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Bischofia javanica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Blighia sapida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Borassus flabellifer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Bouea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Bouea oppositifolia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Breynia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Bridelia stipularis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Broussonetia kaempferi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Broussonetia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Callicarpa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Calophyllum inophyllum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Calotropis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Camonea vitifolia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Cananga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Canarium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Canarium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duchesnei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sepiaria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Carallia brachiata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Careya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Carissa carandas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Carissa spinarum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Caryota mitis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Cascabela thevetia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Castanopsis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Cayratia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tetrandra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Chionanthus parkinsonii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Choerospondias axillaris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Chrysobalanus icaco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cainito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Chukrasia tabularis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yabunikkei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Cissus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colocynthis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depressa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natsudaidai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swinglei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amblycarpa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clementina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meyerii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lansium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Clusia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Coccinia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Coccoloba uvifera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canephora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Cordia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Cordyla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Crescentia cujete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Crinum asiaticum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prophetarum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argyrosperma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Dacryodes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Dillenia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Dimocarpus longan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abyssinica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areolata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castanea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dasyphylla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diepenhorstii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glandulosa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malabarica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mespiliformis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montana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morrisiana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sandwicensis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tutcheri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Diplocyclos palmatus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Donella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Dovyalis hebecarpa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reflexa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steudneri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Drypetes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Durio zibethinus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Dysoxylum parasiticum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Ehretia microphylla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Elaeocarpus hygrophilus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Elaeocarpus serratus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Erycibe subspicata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dombeyi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palumbis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uniflora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Excoecaria agallocha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Fagraea berteroana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Fagraea ceilanica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Fibraurea tinctoria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auriculata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benjamina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chartacea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fistulosa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hirta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lepicarpa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microcarpa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obpyramidata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polita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religiosa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sagittata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septica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sycomorus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virgata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Flacourtia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Flacourtia rukam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Flueggea virosa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hindsii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chiloensis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Gambeya albida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atroviridis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celebica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costata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cowa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griffithii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intermedia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mangostana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parvifolia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prainiana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subelliptica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venulosa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xanthochymus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Garuga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Glycosmis pentaphylla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Gmelina elliptica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Gmelina philippensis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Gnetum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Grewia asiatica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Gynochthodes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Haematostaphis barteri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Hanguana malayana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Hexalobus monopetalus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Heynea trijuga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Holigarna kurzii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Horsfieldia irya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Icacina oliviformis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laurina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Inocarpus fagifer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Irvingia gabonensis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Irvingia malayana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Ixora javanica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Ixora macrothyrsa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hindsii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Kaempferia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Kedrostis leloja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Knema globularia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Landolphia heudelotii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Lansium domesticum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Lepisanthes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Lepisanthes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Lepisanthes rubiginosa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Lepisanthes tetraphylla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Lindera oxyphylla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Litchi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Litsea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Litsea salicifolia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acutangula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Lycianthes biflora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Machilus thunbergii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Maclura cochinchinensis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Mammea siamensis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caesia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caloneura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casturi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foetida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griffithii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lalijiwa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laurina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pajang</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quadrifida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jaimiqui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Melastoma dodecandrum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Melicope pteleifolia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Microcos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coriacea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elengi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Mitrephora maingayi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balsamina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cochinchinensis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Monoon longifolium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Monoon simiarum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Morella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Morinda citrifolia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Morinda coreia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Muntingia calabura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balbisiana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basjoo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troglodytarum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Myrianthus arboreus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Myxopyrum smilacifolium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Nauclea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Nauclea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Neolamarckia cadamba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Neolitsea sericea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Nephelium cuspidatum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Nephelium lappaceum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Nestegis sandwicensis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Noronhia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Ochreinauclea maingayi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Ochrosia mariannensis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Olax scandens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Opilia amentacea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ficus-indica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Palaquium maingayi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Pandanus odorifer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Pandanus tectorius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Parinari anamensis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Parkia biglobosa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Parkia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caerulea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foetida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incarnata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laurifolia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ligularis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quadrangularis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suberosa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tripartita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Phaleria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acidus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emblica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minima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Pimenta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Planchonella duclitan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Pometia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Potentilla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caimito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campechiana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sapota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Premna serratifolia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campanulata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davidiana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phaeosticta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Pseudocydonia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calleryana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Rhaphiolepis williamtelliana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Rhizophora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Rhodocactus grandifolius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Rhodomyrtus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Rollinia mucosa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leucanthus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reflexus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rosifolius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sumatranus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Saba comorensis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Saba senegalensis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Salacca zalacca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Salacia verrucosa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javanica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Sandoricum koetjape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Santalum paniculatum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Sauropus androgynus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Schoepfia fragrans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Sclerocarya birrea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Sechium edule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Selenicereus undatus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Shirakiopsis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Simarouba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Siphonodon celastrineus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aculeatissimum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anguivi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capsicoides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donianum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erianthum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granuloso-leprosum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incanum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lasiocarpum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linnaeanum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mauritianum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pimpinellifolium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seaforthianum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sessiliflorum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stramoniifolium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torvum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trilobatum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Sorindeia madagascariensis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mombin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Staphylea ternata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Streblus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Strychnos mellodora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Strychnos nux-vomica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acuminatissimum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aqueum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aromaticum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borneense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coarctatum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cumini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formosanum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grande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levinei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lineatum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malaccense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nervosum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samarangense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bellirica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chebula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citrina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Trichosanthes costata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Trichosanthes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Trichosanthes scabra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Triphasia trifolia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Uvaria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Uvaria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reticulatum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Vangueria infausta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Vitellaria paradoxa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amurensis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Voacanga africana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Wikstroemia phillyreifolia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Wikstroemia uva-ursi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Willughbeia coriacea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Willughbeia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Xanthophyllum flavescens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Ximenia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Xylotheca kraussiana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asiaticum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Zehneria mucronata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Zehneria wallichii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mauritiana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mucronata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nummularia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oenopolia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floridana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is an Asian species distributed from the Indian Subcontinent eastwards towards Southeast Asia. It has been introduced into different parts of Oceania, and while it has been eradicated in some of these areas it became established in others.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gives an overview of the distribution and invasion history. The species has also been introduced in Africa where it was detected for the first time in 2003 in Kenya. It subsequently spread throughout the whole continent below the Sahara (De Villiers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as well as several islands in the western part of the Indian Ocean. It has been recently detected in the EPPO region (France: Mouttet &amp; Balmès, 2020; Italy: Nugnes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although there is currently no evidence that it has become established there.</w:t>
      </w:r>
    </w:p>
    <w:p>
      <w:r>
        <w:drawing>
          <wp:inline distT="0" distB="0" distL="0" distR="0">
            <wp:extent cx="6120000" cy="3067200"/>
            <wp:docPr id="34198197" name="name3966664b0c90796dc" descr="DACUD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UDO_distribution_map.jpg"/>
                    <pic:cNvPicPr/>
                  </pic:nvPicPr>
                  <pic:blipFill>
                    <a:blip r:embed="rId3807664b0c90796d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Italy (mainland)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Benin, Botswana, Burkina Faso, Burundi, Cameroon, Cape Verde, Central African Republic, Chad, Comoros, Congo, Congo, Democratic republic of the, Cote d'Ivoire, Equatorial Guinea, Eritrea, Eswatini, Ethiopia, Gabon, Gambia, Ghana, Guinea, Guinea-Bissau, Kenya, Liberia, Madagascar, Malawi, Mali, Mauritania, Mauritius, Mayotte, Mozambique, Namibia, Niger, Nigeria, Reunion, Rwanda, Senegal, Sierra Leone, South Africa, Sudan, Tanzania, Togo,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Bhutan, Brunei Darussalam, Cambodia, China (Anhui, Aomen (Macau), Beijing, Chongqing, Fujian, Guangdong, Guangxi, Guizhou, Hainan, Hebei, Henan, Hubei, Hunan, Jiangsu, Jiangxi, Shaanxi, Shandong, Shanghai, Sichuan, Xianggang (Hong Kong), Xizhang, Yunnan, Zhejiang), Christmas Island, East Timor, India (Andaman and Nicobar Islands, Andhra Pradesh, Assam, Bihar, Chhattisgarh, Delhi, Goa, Gujarat, Haryana, Himachal Pradesh, Jammu &amp; Kashmir, Karnataka, Kerala, Madhya Pradesh, Maharashtra, Manipur, Mizoram, Nagaland, Odisha, Punjab, Rajasthan, Sikkim, Tamil Nadu, Telangana, Uttarakhand, Uttar Pradesh, West Bengal), Indonesia (Irian Jaya, Java, Kalimantan, Nusa Tenggara, Sulawesi, Sumatra), Laos, Malaysia (Sabah, Sarawak, West), Myanmar, Nepal, Oman, Pakistan, Philippines, Singapore, Sri Lanka, Taiwan, Thailand, United Arab Emirates,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(California, Hawaii)</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(Queensland), French Polynesia, Palau,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general life cycle is similar to those of other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 infesting fruits: eggs are laid below the skin of the host fruit. Three larval stages develop inside the fruit, feeding on the plant tissue. Once mature the third instar larva will leave the fruit, dig down into the soil and turn into a pupa enclosed in a puparium. The adult fly will emerge from the puparium.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can complete its life cycle in  about 37 days at 25°C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Adults can live up to 11 weeks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Females start laying eggs between 18 and 48 days after adult emergence depending on prevailing temperatures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The larval duration of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varies from 7 to 36 days at 35°C and 15°C respectively (Rwomushana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2008b). An adult fly emerges from the pupa after 9 to 34 days at temperatures ranging from 30°C to 15°C (Ekesi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Rwomushana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2008b). In places where </w:t>
      </w:r>
      <w:r>
        <w:rPr>
          <w:rFonts w:ascii="Calibri" w:hAnsi="Calibri" w:eastAsia="Calibri" w:cs="Calibri"/>
          <w:i/>
          <w:iCs/>
          <w:color w:val="000000"/>
          <w:sz w:val="22"/>
          <w:szCs w:val="22"/>
        </w:rPr>
        <w:t xml:space="preserve">Bactrocera dorsalis </w:t>
      </w:r>
      <w:r>
        <w:rPr>
          <w:rFonts w:ascii="Calibri" w:hAnsi="Calibri" w:eastAsia="Calibri" w:cs="Calibri"/>
          <w:color w:val="000000"/>
          <w:sz w:val="22"/>
          <w:szCs w:val="22"/>
        </w:rPr>
        <w:t xml:space="preserve">has been invasive, it is known to outcompete native or previously introduced fruit flies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Ekesi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 length varies from 5 to 15 mm. Identification to species level is not possible based on larvae. The 3rd-instar larvae have been described by White &amp; Elson-Harris (1992) in detail. The same work provides a key to 3rd-instar larvae which is useful for an identification to genus level.</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color w:val="000000"/>
          <w:sz w:val="22"/>
          <w:szCs w:val="22"/>
        </w:rPr>
        <w:t xml:space="preserve"> (after diagnostic description given by Drew &amp; Romig, 2013. Additional character states of the female after Drew &amp; Hancock, 1994. Also included are variable states as listed under </w:t>
      </w:r>
      <w:r>
        <w:rPr>
          <w:rFonts w:ascii="Calibri" w:hAnsi="Calibri" w:eastAsia="Calibri" w:cs="Calibri"/>
          <w:i/>
          <w:iCs/>
          <w:color w:val="000000"/>
          <w:sz w:val="22"/>
          <w:szCs w:val="22"/>
        </w:rPr>
        <w:t xml:space="preserve">B. invadens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 papayae </w:t>
      </w:r>
      <w:r>
        <w:rPr>
          <w:rFonts w:ascii="Calibri" w:hAnsi="Calibri" w:eastAsia="Calibri" w:cs="Calibri"/>
          <w:color w:val="000000"/>
          <w:sz w:val="22"/>
          <w:szCs w:val="22"/>
        </w:rPr>
        <w:t xml:space="preserve">as they are considered synonymous in this datasheet)</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p>
    <w:p>
      <w:pPr>
        <w:widowControl w:val="on"/>
        <w:pBdr/>
        <w:spacing w:before="220" w:after="220" w:line="240" w:lineRule="auto"/>
        <w:ind w:left="0" w:right="0"/>
        <w:jc w:val="both"/>
      </w:pPr>
      <w:r>
        <w:rPr>
          <w:rFonts w:ascii="Calibri" w:hAnsi="Calibri" w:eastAsia="Calibri" w:cs="Calibri"/>
          <w:color w:val="000000"/>
          <w:sz w:val="22"/>
          <w:szCs w:val="22"/>
        </w:rPr>
        <w:t xml:space="preserve">Face fulvous with a pair of medium-sized to large circular to oval black spots; postpronotal lobes and notopleura yellow; scutum black with extensive areas of red-brown to brown below and behind lateral postsutural vittae, around notopleural suture, between postpronotal lobes and notopleura, and inside postpronotal lobes; broad parallel-sided lateral postsutural yellow vittae ending at or behind intra-alar seta; medial postsutural yellow vitta absent; mesopleural stripe reaching midway between anterior margin of notopleuron and anterior notopleural seta dorsally; scutellum yellow; legs with femora entirely fulvous; fore tibiae pale fuscous and hind tibiae fuscous, mid tibiae fulvous with a small area of dark fuscous basally; wing with cells bc and c colourless, microtrichia in outer corner of cell c only; a narrow fuscous costal band confluent with R2+3 and remaining very narrow around apex of wing (occasionally there can be a very slight swelling around apex of R4+5); a narrow pale fuscous anal streak; supernumerary lobe of medium development; abdominal terga III-V orange-brown with variable pattern but normally with the basic ‘T’ shaped pattern consisting of a narrow to broad transverse black band across anterior margin of tergum III, a narrow to medium-width medial longitudinal black band over all three terga, narrow anterolateral fuscous to dark fuscous corners on terga IV and V; a pair of oval orange-brown to pale fuscous shiny spots on tergum V; abdominal sterna dark coloured.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male in the general body colour patterns. Pecten absent from abdominal tergum III. Ovipositor basal segment orange-brown, dorsoventrally compressed and tapering posteriorly in dorsal view; ratio of length of oviscape to length of tergum V varies from 0.7:1 to 1.2:1; aculeus apex needle shaped. </w:t>
      </w:r>
    </w:p>
    <w:p>
      <w:pPr>
        <w:widowControl w:val="on"/>
        <w:pBdr/>
        <w:spacing w:before="220" w:after="220" w:line="240" w:lineRule="auto"/>
        <w:ind w:left="0" w:right="0"/>
        <w:jc w:val="both"/>
      </w:pPr>
      <w:r>
        <w:rPr>
          <w:rFonts w:ascii="Calibri" w:hAnsi="Calibri" w:eastAsia="Calibri" w:cs="Calibri"/>
          <w:color w:val="000000"/>
          <w:sz w:val="22"/>
          <w:szCs w:val="22"/>
        </w:rPr>
        <w:t xml:space="preserve">Remark: differentiation between this species and closely related species within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Drew &amp; Hancock, 1994) is difficult and needs expert confirmation. See ISPM 27 DP 29 (IPPC, 2019) for details on how to differentiate between the main species of commercial importance belonging to the species complex. Aculeus length has been used to differentiate between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 papayae </w:t>
      </w:r>
      <w:r>
        <w:rPr>
          <w:rFonts w:ascii="Calibri" w:hAnsi="Calibri" w:eastAsia="Calibri" w:cs="Calibri"/>
          <w:color w:val="000000"/>
          <w:sz w:val="22"/>
          <w:szCs w:val="22"/>
        </w:rPr>
        <w:t xml:space="preserve">but see Schutze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for review on the intra-specific variability of this aspect.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w:t>
      </w:r>
    </w:p>
    <w:p>
      <w:pPr>
        <w:widowControl w:val="on"/>
        <w:pBdr/>
        <w:spacing w:before="220" w:after="220" w:line="240" w:lineRule="auto"/>
        <w:ind w:left="0" w:right="0"/>
        <w:jc w:val="both"/>
      </w:pPr>
      <w:r>
        <w:rPr>
          <w:rFonts w:ascii="Calibri" w:hAnsi="Calibri" w:eastAsia="Calibri" w:cs="Calibri"/>
          <w:color w:val="000000"/>
          <w:sz w:val="22"/>
          <w:szCs w:val="22"/>
        </w:rPr>
        <w:t xml:space="preserve">The molecular identification of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through DNA barcoding proves to be problematic as this species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cannot be properly distinguished from a number of closely related species, including species from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Drew &amp; Hancock 1994; Drew &amp; Romig 2013; Schutze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2014). Additionally, the presence of unidentified / possibly misidentified reference sequence in the Barcoding Index Number Systems (BINs) in which this species is represented, might also bias its molecular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Sequences (both under </w:t>
      </w:r>
      <w:hyperlink r:id="rId5599664b0c9079fe7" w:history="1">
        <w:r>
          <w:rPr>
            <w:rFonts w:ascii="Calibri" w:hAnsi="Calibri" w:eastAsia="Calibri" w:cs="Calibri"/>
            <w:b/>
            <w:bCs/>
            <w:i/>
            <w:iCs/>
            <w:color w:val="0000CC"/>
            <w:sz w:val="22"/>
            <w:szCs w:val="22"/>
            <w:u w:val="single"/>
          </w:rPr>
          <w:t xml:space="preserve">Bactrocera dorsalis</w:t>
        </w:r>
      </w:hyperlink>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w:t>
      </w:r>
      <w:hyperlink r:id="rId7493664b0c907a03c" w:history="1">
        <w:r>
          <w:rPr>
            <w:rFonts w:ascii="Calibri" w:hAnsi="Calibri" w:eastAsia="Calibri" w:cs="Calibri"/>
            <w:b/>
            <w:bCs/>
            <w:i/>
            <w:iCs/>
            <w:color w:val="0000CC"/>
            <w:sz w:val="22"/>
            <w:szCs w:val="22"/>
            <w:u w:val="single"/>
          </w:rPr>
          <w:t xml:space="preserve">Bactrocera invadens</w:t>
        </w:r>
      </w:hyperlink>
      <w:r>
        <w:rPr>
          <w:rFonts w:ascii="Calibri" w:hAnsi="Calibri" w:eastAsia="Calibri" w:cs="Calibri"/>
          <w:color w:val="000000"/>
          <w:sz w:val="22"/>
          <w:szCs w:val="22"/>
        </w:rPr>
        <w:t xml:space="preserve">) are available in the Barcode of Life Data Systems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(BOLD). Sequences for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are available in </w:t>
      </w:r>
      <w:hyperlink r:id="rId5101664b0c907a0aa" w:history="1">
        <w:r>
          <w:rPr>
            <w:rFonts w:ascii="Calibri" w:hAnsi="Calibri" w:eastAsia="Calibri" w:cs="Calibri"/>
            <w:b/>
            <w:bCs/>
            <w:color w:val="0000CC"/>
            <w:sz w:val="22"/>
            <w:szCs w:val="22"/>
            <w:u w:val="single"/>
          </w:rPr>
          <w:t xml:space="preserve">EPPO-Q-Bank</w:t>
        </w:r>
      </w:hyperlink>
      <w:r>
        <w:rPr>
          <w:rFonts w:ascii="Calibri" w:hAnsi="Calibri" w:eastAsia="Calibri" w:cs="Calibri"/>
          <w:b/>
          <w:bCs/>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Males are efficiently attracted to methyl eugenol. Both sexes can be monitored by traps baited with protein-based attractants.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means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Dispersal up to 2 km is considered more typical.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Losses incurred by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can be substantial, especially on mango.  Significant damage can also be caused on guava and citrus (Ekesi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Goergen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Rwomushana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2008a; Vayssieres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These include sanitation (to gather all fallen and infested host fruits and destroy them).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 Male annihilation technique (MAT) using methyl-eugenol as main attractant, has been used in several eradication programs against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(for an overview,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Sterile Insect Technique (SIT) has been used as a component in an area-wide integrated pest management (IPM) program to suppress the species in Thailand (Chinvinijkul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See Enkerlin (2005) for a review on SIT programs worldwide against this and other tephritid pest species.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dorsalis </w:t>
      </w:r>
      <w:r>
        <w:rPr>
          <w:rFonts w:ascii="Calibri" w:hAnsi="Calibri" w:eastAsia="Calibri" w:cs="Calibri"/>
          <w:color w:val="000000"/>
          <w:sz w:val="22"/>
          <w:szCs w:val="22"/>
        </w:rPr>
        <w:t xml:space="preserve">is a known pest of several commercial fruit crops in the area where it is present. It can be moved in trade with infested fruit. Several studies have been made on climatic suitability of different regions in the world for this species (see Stephens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De Meyer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De Villiers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r>
        <w:rPr>
          <w:rFonts w:ascii="Calibri" w:hAnsi="Calibri" w:eastAsia="Calibri" w:cs="Calibri"/>
          <w:color w:val="000000"/>
          <w:sz w:val="22"/>
          <w:szCs w:val="22"/>
        </w:rPr>
        <w:t xml:space="preserve">). For the EPPO region EFSA (2020) made a projection of potential establishment within the EPPO region, concluding that the species can potentially become established in the Mediterranean coastal areas, as well as the whole of Spain and Portugal, and the Atlantic coast in France. The EFSA Panel on Plant Health, in their Pest Categorization of non-EU Tephritidae (EFSA, 2020) placed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on the list of fruit flies that satisfy the criteria to be regarded as a potential Union quarantine pest for the EU.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from countries or regions where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does not occur, or from a place of production found free from the pest by regular inspection in the 3 months before harvest. Plants transported with roots from countries or regions where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occurs should be free from soil, or the soil should be treated against puparia. The plants should not carry fruits. Cold treatment, hot water immersion, high temperature forced air, vapour heat treatment and fumigation can be performed on fruit commodities. Detailed information on these treatments and possible combinations of treatments for different species of fruits is available in USDA treatment manual (USDA, 2021). Annex 32 of ISPM 28 Phytosanitary treatments for regulated pests (FAO, 2018) describes a vapour heat treatment for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(2020)  A  Pest categorization of non-EU Tephritidae.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5931, 62 pp. </w:t>
      </w:r>
      <w:hyperlink r:id="rId8718664b0c907a655" w:history="1">
        <w:r>
          <w:rPr>
            <w:rFonts w:ascii="Calibri" w:hAnsi="Calibri" w:eastAsia="Calibri" w:cs="Calibri"/>
            <w:color w:val="0000CC"/>
            <w:sz w:val="22"/>
            <w:szCs w:val="22"/>
            <w:u w:val="single"/>
          </w:rPr>
          <w:t xml:space="preserve">https://doi.org/10.2903/j.efsa.2020.5931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Chinvinijkul S, Limohpasmanee W, Chanket T, Uthaitanakit A, Phopanit P, Sukamnouyporn W, Maneerat C, Kimjong W, Kumjing P &amp; Boonwee N (2016) Use of the sterile insect technique in an area-wide approach to establish a fruit fly-low prevalence area in Thailand. In: Perez-Staples D, Diaz-Fleischer F, Montoya P &amp; Vera MT (Eds) Area-wide Management of Fruit Flies. CRC Press, Boca Raton, pp. 325-332.</w:t>
      </w:r>
    </w:p>
    <w:p>
      <w:pPr>
        <w:widowControl w:val="on"/>
        <w:pBdr/>
        <w:spacing w:before="220" w:after="220" w:line="240" w:lineRule="auto"/>
        <w:ind w:left="0" w:right="0"/>
        <w:jc w:val="left"/>
      </w:pPr>
      <w:r>
        <w:rPr>
          <w:rFonts w:ascii="Calibri" w:hAnsi="Calibri" w:eastAsia="Calibri" w:cs="Calibri"/>
          <w:color w:val="000000"/>
          <w:sz w:val="22"/>
          <w:szCs w:val="22"/>
        </w:rPr>
        <w:t xml:space="preserve">Cugala D, Ekesi S, Ambasse D, Adamu RS &amp; Mohamed SA (2013) Assessment of ripening stages of Cavendish dwarf bananas as host or non-host to </w:t>
      </w:r>
      <w:r>
        <w:rPr>
          <w:rFonts w:ascii="Calibri" w:hAnsi="Calibri" w:eastAsia="Calibri" w:cs="Calibri"/>
          <w:i/>
          <w:iCs/>
          <w:color w:val="000000"/>
          <w:sz w:val="22"/>
          <w:szCs w:val="22"/>
        </w:rPr>
        <w:t xml:space="preserve">Bactrocera invadens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Applied Entomology </w:t>
      </w:r>
      <w:r>
        <w:rPr>
          <w:rFonts w:ascii="Calibri" w:hAnsi="Calibri" w:eastAsia="Calibri" w:cs="Calibri"/>
          <w:b/>
          <w:bCs/>
          <w:color w:val="000000"/>
          <w:sz w:val="22"/>
          <w:szCs w:val="22"/>
        </w:rPr>
        <w:t xml:space="preserve">138</w:t>
      </w:r>
      <w:r>
        <w:rPr>
          <w:rFonts w:ascii="Calibri" w:hAnsi="Calibri" w:eastAsia="Calibri" w:cs="Calibri"/>
          <w:color w:val="000000"/>
          <w:sz w:val="22"/>
          <w:szCs w:val="22"/>
        </w:rPr>
        <w:t xml:space="preserve">, 449-457.</w:t>
      </w:r>
    </w:p>
    <w:p>
      <w:pPr>
        <w:widowControl w:val="on"/>
        <w:pBdr/>
        <w:spacing w:before="220" w:after="220" w:line="240" w:lineRule="auto"/>
        <w:ind w:left="0" w:right="0"/>
        <w:jc w:val="left"/>
      </w:pPr>
      <w:r>
        <w:rPr>
          <w:rFonts w:ascii="Calibri" w:hAnsi="Calibri" w:eastAsia="Calibri" w:cs="Calibri"/>
          <w:color w:val="000000"/>
          <w:sz w:val="22"/>
          <w:szCs w:val="22"/>
        </w:rPr>
        <w:t xml:space="preserve">Cugala D, Jordane JJ &amp; Ekesi S (2017) Non-host status of papaya cultivars to the Oriental fruit fly, </w:t>
      </w:r>
      <w:r>
        <w:rPr>
          <w:rFonts w:ascii="Calibri" w:hAnsi="Calibri" w:eastAsia="Calibri" w:cs="Calibri"/>
          <w:i/>
          <w:iCs/>
          <w:color w:val="000000"/>
          <w:sz w:val="22"/>
          <w:szCs w:val="22"/>
        </w:rPr>
        <w:t xml:space="preserve">Bactrocera dorsalis </w:t>
      </w:r>
      <w:r>
        <w:rPr>
          <w:rFonts w:ascii="Calibri" w:hAnsi="Calibri" w:eastAsia="Calibri" w:cs="Calibri"/>
          <w:color w:val="000000"/>
          <w:sz w:val="22"/>
          <w:szCs w:val="22"/>
        </w:rPr>
        <w:t xml:space="preserve">(Diptera: Tephritidae), in relation to the degree of fruit ripeness. </w:t>
      </w:r>
      <w:r>
        <w:rPr>
          <w:rFonts w:ascii="Calibri" w:hAnsi="Calibri" w:eastAsia="Calibri" w:cs="Calibri"/>
          <w:i/>
          <w:iCs/>
          <w:color w:val="000000"/>
          <w:sz w:val="22"/>
          <w:szCs w:val="22"/>
        </w:rPr>
        <w:t xml:space="preserve">International Journal of Tropical Insect Science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19-29.</w:t>
      </w:r>
    </w:p>
    <w:p>
      <w:pPr>
        <w:widowControl w:val="on"/>
        <w:pBdr/>
        <w:spacing w:before="220" w:after="220" w:line="240" w:lineRule="auto"/>
        <w:ind w:left="0" w:right="0"/>
        <w:jc w:val="left"/>
      </w:pPr>
      <w:r>
        <w:rPr>
          <w:rFonts w:ascii="Calibri" w:hAnsi="Calibri" w:eastAsia="Calibri" w:cs="Calibri"/>
          <w:color w:val="000000"/>
          <w:sz w:val="22"/>
          <w:szCs w:val="22"/>
        </w:rPr>
        <w:t xml:space="preserve">De Meyer M, Robertson MP, Mansel MW, Ekesi S, Tsuruta K, Mwaiko W, Vayssières JF &amp; Peterson AT (2010) Ecological niche and potential geographic distribution of the invasive fruit fly </w:t>
      </w:r>
      <w:r>
        <w:rPr>
          <w:rFonts w:ascii="Calibri" w:hAnsi="Calibri" w:eastAsia="Calibri" w:cs="Calibri"/>
          <w:i/>
          <w:iCs/>
          <w:color w:val="000000"/>
          <w:sz w:val="22"/>
          <w:szCs w:val="22"/>
        </w:rPr>
        <w:t xml:space="preserve">Bactrocera invadens </w:t>
      </w:r>
      <w:r>
        <w:rPr>
          <w:rFonts w:ascii="Calibri" w:hAnsi="Calibri" w:eastAsia="Calibri" w:cs="Calibri"/>
          <w:color w:val="000000"/>
          <w:sz w:val="22"/>
          <w:szCs w:val="22"/>
        </w:rPr>
        <w:t xml:space="preserve">(Diptera, Tephritidae). </w:t>
      </w:r>
      <w:r>
        <w:rPr>
          <w:rFonts w:ascii="Calibri" w:hAnsi="Calibri" w:eastAsia="Calibri" w:cs="Calibri"/>
          <w:i/>
          <w:iCs/>
          <w:color w:val="000000"/>
          <w:sz w:val="22"/>
          <w:szCs w:val="22"/>
        </w:rPr>
        <w:t xml:space="preserve">Bulletin of Entomological Research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35-48.</w:t>
      </w:r>
    </w:p>
    <w:p>
      <w:pPr>
        <w:widowControl w:val="on"/>
        <w:pBdr/>
        <w:spacing w:before="220" w:after="220" w:line="240" w:lineRule="auto"/>
        <w:ind w:left="0" w:right="0"/>
        <w:jc w:val="left"/>
      </w:pPr>
      <w:r>
        <w:rPr>
          <w:rFonts w:ascii="Calibri" w:hAnsi="Calibri" w:eastAsia="Calibri" w:cs="Calibri"/>
          <w:color w:val="000000"/>
          <w:sz w:val="22"/>
          <w:szCs w:val="22"/>
        </w:rPr>
        <w:t xml:space="preserve">De Villiers M, Hattingh V, Kriticos DJ, Brunel S, Vayssieres JF, Sinzogan A, Billah MK, Mohamed MA, Mwatawala M, Abdelgader H, Salah FEE &amp; De Meyer M (2016) The potential distribution of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considering phenology and irrigation patterns.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19-33</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Hancock DL (1994) The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complex of fruit flies (Diptera: Tephritidae: Dacinae) in Asia. </w:t>
      </w:r>
      <w:r>
        <w:rPr>
          <w:rFonts w:ascii="Calibri" w:hAnsi="Calibri" w:eastAsia="Calibri" w:cs="Calibri"/>
          <w:i/>
          <w:iCs/>
          <w:color w:val="000000"/>
          <w:sz w:val="22"/>
          <w:szCs w:val="22"/>
        </w:rPr>
        <w:t xml:space="preserve">Bulletin of Entomological Research suppl. Series</w:t>
      </w:r>
      <w:r>
        <w:rPr>
          <w:rFonts w:ascii="Calibri" w:hAnsi="Calibri" w:eastAsia="Calibri" w:cs="Calibri"/>
          <w:color w:val="000000"/>
          <w:sz w:val="22"/>
          <w:szCs w:val="22"/>
        </w:rPr>
        <w:t xml:space="preserve"> 2, 1-68.</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(2013) Tropical Fruit Flies of South-East Asia. CABI, Wallingford (UK), vii+653 pp. </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(2016) Keys to the Tropical Fruit flies of South-East Asia. CABI, Wallingford (UK), 487 pp.</w:t>
      </w:r>
    </w:p>
    <w:p>
      <w:pPr>
        <w:widowControl w:val="on"/>
        <w:pBdr/>
        <w:spacing w:before="220" w:after="220" w:line="240" w:lineRule="auto"/>
        <w:ind w:left="0" w:right="0"/>
        <w:jc w:val="left"/>
      </w:pPr>
      <w:r>
        <w:rPr>
          <w:rFonts w:ascii="Calibri" w:hAnsi="Calibri" w:eastAsia="Calibri" w:cs="Calibri"/>
          <w:color w:val="000000"/>
          <w:sz w:val="22"/>
          <w:szCs w:val="22"/>
        </w:rPr>
        <w:t xml:space="preserve">Ekesi S, Nderitu PW &amp; Rwomushana I (2006) Field infestation, life history and demographic parameters of the fruit fly </w:t>
      </w:r>
      <w:r>
        <w:rPr>
          <w:rFonts w:ascii="Calibri" w:hAnsi="Calibri" w:eastAsia="Calibri" w:cs="Calibri"/>
          <w:i/>
          <w:iCs/>
          <w:color w:val="000000"/>
          <w:sz w:val="22"/>
          <w:szCs w:val="22"/>
        </w:rPr>
        <w:t xml:space="preserve">Bactrocera invadens</w:t>
      </w:r>
      <w:r>
        <w:rPr>
          <w:rFonts w:ascii="Calibri" w:hAnsi="Calibri" w:eastAsia="Calibri" w:cs="Calibri"/>
          <w:color w:val="000000"/>
          <w:sz w:val="22"/>
          <w:szCs w:val="22"/>
        </w:rPr>
        <w:t xml:space="preserve"> (Diptera: Tephritidae) in Africa.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379-386.</w:t>
      </w:r>
    </w:p>
    <w:p>
      <w:pPr>
        <w:widowControl w:val="on"/>
        <w:pBdr/>
        <w:spacing w:before="220" w:after="220" w:line="240" w:lineRule="auto"/>
        <w:ind w:left="0" w:right="0"/>
        <w:jc w:val="left"/>
      </w:pPr>
      <w:r>
        <w:rPr>
          <w:rFonts w:ascii="Calibri" w:hAnsi="Calibri" w:eastAsia="Calibri" w:cs="Calibri"/>
          <w:color w:val="000000"/>
          <w:sz w:val="22"/>
          <w:szCs w:val="22"/>
        </w:rPr>
        <w:t xml:space="preserve">Ekesi S, Billah MK, Nderitu PW, Lux SA &amp; Rwomushana I (2009) Evidence for competitive displacement of </w:t>
      </w:r>
      <w:r>
        <w:rPr>
          <w:rFonts w:ascii="Calibri" w:hAnsi="Calibri" w:eastAsia="Calibri" w:cs="Calibri"/>
          <w:i/>
          <w:iCs/>
          <w:color w:val="000000"/>
          <w:sz w:val="22"/>
          <w:szCs w:val="22"/>
        </w:rPr>
        <w:t xml:space="preserve">Ceratitis cosyra</w:t>
      </w:r>
      <w:r>
        <w:rPr>
          <w:rFonts w:ascii="Calibri" w:hAnsi="Calibri" w:eastAsia="Calibri" w:cs="Calibri"/>
          <w:color w:val="000000"/>
          <w:sz w:val="22"/>
          <w:szCs w:val="22"/>
        </w:rPr>
        <w:t xml:space="preserve"> by the invasive fruit fly </w:t>
      </w:r>
      <w:r>
        <w:rPr>
          <w:rFonts w:ascii="Calibri" w:hAnsi="Calibri" w:eastAsia="Calibri" w:cs="Calibri"/>
          <w:i/>
          <w:iCs/>
          <w:color w:val="000000"/>
          <w:sz w:val="22"/>
          <w:szCs w:val="22"/>
        </w:rPr>
        <w:t xml:space="preserve">Bactrocera invadens</w:t>
      </w:r>
      <w:r>
        <w:rPr>
          <w:rFonts w:ascii="Calibri" w:hAnsi="Calibri" w:eastAsia="Calibri" w:cs="Calibri"/>
          <w:color w:val="000000"/>
          <w:sz w:val="22"/>
          <w:szCs w:val="22"/>
        </w:rPr>
        <w:t xml:space="preserve"> (Diptera : Tephritidae) on mango and mechanisms contributing to the displacement.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981-991.</w:t>
      </w:r>
    </w:p>
    <w:p>
      <w:pPr>
        <w:widowControl w:val="on"/>
        <w:pBdr/>
        <w:spacing w:before="220" w:after="220" w:line="240" w:lineRule="auto"/>
        <w:ind w:left="0" w:right="0"/>
        <w:jc w:val="left"/>
      </w:pPr>
      <w:r>
        <w:rPr>
          <w:rFonts w:ascii="Calibri" w:hAnsi="Calibri" w:eastAsia="Calibri" w:cs="Calibri"/>
          <w:color w:val="000000"/>
          <w:sz w:val="22"/>
          <w:szCs w:val="22"/>
        </w:rPr>
        <w:t xml:space="preserve">Enkerlin WR (2005) Impact of fruit fly control programmes using the sterile insect technique. In: Dyck VA, Hendrichs J &amp; Robinson AS (Eds) Sterile Insect Technique. Principles and Practice in Area-Wide Integrated Pest Management. Springer Verlag, Dordrecht, 651-676.</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(2018) ISPM 28. Annex 32. Vapour heat treatment for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Rome, IPPC, FAO. </w:t>
      </w:r>
      <w:hyperlink r:id="rId4202664b0c907aa8b" w:history="1">
        <w:r>
          <w:rPr>
            <w:rFonts w:ascii="Calibri" w:hAnsi="Calibri" w:eastAsia="Calibri" w:cs="Calibri"/>
            <w:color w:val="0000CC"/>
            <w:sz w:val="22"/>
            <w:szCs w:val="22"/>
            <w:u w:val="single"/>
          </w:rPr>
          <w:t xml:space="preserve">https://assets.ippc.int/static/media/files/publication/en/2019/02/PT_32_2018_En_VHT_Bactr_papaya_2018-04-21_WithCover.pdf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Goergen G, Vayssières JF, Gnanvossou D &amp; Tindo M (2011) </w:t>
      </w:r>
      <w:r>
        <w:rPr>
          <w:rFonts w:ascii="Calibri" w:hAnsi="Calibri" w:eastAsia="Calibri" w:cs="Calibri"/>
          <w:i/>
          <w:iCs/>
          <w:color w:val="000000"/>
          <w:sz w:val="22"/>
          <w:szCs w:val="22"/>
        </w:rPr>
        <w:t xml:space="preserve">Bactrocera invadens</w:t>
      </w:r>
      <w:r>
        <w:rPr>
          <w:rFonts w:ascii="Calibri" w:hAnsi="Calibri" w:eastAsia="Calibri" w:cs="Calibri"/>
          <w:color w:val="000000"/>
          <w:sz w:val="22"/>
          <w:szCs w:val="22"/>
        </w:rPr>
        <w:t xml:space="preserve"> (Diptera: Tephritidae), a new invasive fruit fly pest for the Afrotropical region: host plant range and distribution in west and central Africa.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844-854.</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ISPM 27 Diagnostic protocols for regulated pests DP 29: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International Plant Protection Convention, FAO, Rome (Italy), 39 pp.</w:t>
      </w:r>
    </w:p>
    <w:p>
      <w:pPr>
        <w:widowControl w:val="on"/>
        <w:pBdr/>
        <w:spacing w:before="220" w:after="220" w:line="240" w:lineRule="auto"/>
        <w:ind w:left="0" w:right="0"/>
        <w:jc w:val="left"/>
      </w:pPr>
      <w:r>
        <w:rPr>
          <w:rFonts w:ascii="Calibri" w:hAnsi="Calibri" w:eastAsia="Calibri" w:cs="Calibri"/>
          <w:color w:val="000000"/>
          <w:sz w:val="22"/>
          <w:szCs w:val="22"/>
        </w:rPr>
        <w:t xml:space="preserve">Liquido NJ, McQuate GT, Birnbaum AL, Hanlin MA, Nakamichi KA, Inskeep JR, Ching AJF, Marnell SA &amp; Kurashima RS (2019) A review of recorded host plants of oriental fruit fly,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 </w:t>
      </w:r>
      <w:r>
        <w:rPr>
          <w:rFonts w:ascii="Calibri" w:hAnsi="Calibri" w:eastAsia="Calibri" w:cs="Calibri"/>
          <w:color w:val="000000"/>
          <w:sz w:val="22"/>
          <w:szCs w:val="22"/>
        </w:rPr>
        <w:t xml:space="preserve">(Hendel) (Diptera: Tephritidae), Version 3.1. Available online at: </w:t>
      </w:r>
      <w:r>
        <w:rPr>
          <w:rFonts w:ascii="Calibri" w:hAnsi="Calibri" w:eastAsia="Calibri" w:cs="Calibri"/>
          <w:i/>
          <w:iCs/>
          <w:color w:val="000000"/>
          <w:sz w:val="22"/>
          <w:szCs w:val="22"/>
        </w:rPr>
        <w:t xml:space="preserve">USDA Compendium of Fruit Fly Host Information </w:t>
      </w:r>
      <w:r>
        <w:rPr>
          <w:rFonts w:ascii="Calibri" w:hAnsi="Calibri" w:eastAsia="Calibri" w:cs="Calibri"/>
          <w:color w:val="000000"/>
          <w:sz w:val="22"/>
          <w:szCs w:val="22"/>
        </w:rPr>
        <w:t xml:space="preserve">(CoFFHI), Edition 4.0, </w:t>
      </w:r>
      <w:hyperlink r:id="rId5243664b0c907ac45" w:history="1">
        <w:r>
          <w:rPr>
            <w:rFonts w:ascii="Calibri" w:hAnsi="Calibri" w:eastAsia="Calibri" w:cs="Calibri"/>
            <w:color w:val="0000CC"/>
            <w:sz w:val="22"/>
            <w:szCs w:val="22"/>
            <w:u w:val="single"/>
          </w:rPr>
          <w:t xml:space="preserve">https://coffhi.cphst.org/</w:t>
        </w:r>
      </w:hyperlink>
      <w:r>
        <w:rPr>
          <w:rFonts w:ascii="Calibri" w:hAnsi="Calibri" w:eastAsia="Calibri" w:cs="Calibri"/>
          <w:color w:val="000000"/>
          <w:sz w:val="22"/>
          <w:szCs w:val="22"/>
        </w:rPr>
        <w:t xml:space="preserve"> [accessed on 2021-04-23]</w:t>
      </w:r>
    </w:p>
    <w:p>
      <w:pPr>
        <w:widowControl w:val="on"/>
        <w:pBdr/>
        <w:spacing w:before="220" w:after="220" w:line="240" w:lineRule="auto"/>
        <w:ind w:left="0" w:right="0"/>
        <w:jc w:val="left"/>
      </w:pPr>
      <w:r>
        <w:rPr>
          <w:rFonts w:ascii="Calibri" w:hAnsi="Calibri" w:eastAsia="Calibri" w:cs="Calibri"/>
          <w:color w:val="000000"/>
          <w:sz w:val="22"/>
          <w:szCs w:val="22"/>
        </w:rPr>
        <w:t xml:space="preserve">Liu JH, Xiong X, Pan Y, Xiong Z, Deng Z &amp; Yang L (2011) Predicting potential distribution of oriental fruit fly, </w:t>
      </w:r>
      <w:r>
        <w:rPr>
          <w:rFonts w:ascii="Calibri" w:hAnsi="Calibri" w:eastAsia="Calibri" w:cs="Calibri"/>
          <w:i/>
          <w:iCs/>
          <w:color w:val="000000"/>
          <w:sz w:val="22"/>
          <w:szCs w:val="22"/>
        </w:rPr>
        <w:t xml:space="preserve">Bactrocera dorsalis </w:t>
      </w:r>
      <w:r>
        <w:rPr>
          <w:rFonts w:ascii="Calibri" w:hAnsi="Calibri" w:eastAsia="Calibri" w:cs="Calibri"/>
          <w:color w:val="000000"/>
          <w:sz w:val="22"/>
          <w:szCs w:val="22"/>
        </w:rPr>
        <w:t xml:space="preserve">in Jiangxi Province, South China based on maximum entropy model. </w:t>
      </w:r>
      <w:r>
        <w:rPr>
          <w:rFonts w:ascii="Calibri" w:hAnsi="Calibri" w:eastAsia="Calibri" w:cs="Calibri"/>
          <w:i/>
          <w:iCs/>
          <w:color w:val="000000"/>
          <w:sz w:val="22"/>
          <w:szCs w:val="22"/>
        </w:rPr>
        <w:t xml:space="preserve">Scientific Research and Essays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2888-2894.</w:t>
      </w:r>
    </w:p>
    <w:p>
      <w:pPr>
        <w:widowControl w:val="on"/>
        <w:pBdr/>
        <w:spacing w:before="220" w:after="220" w:line="240" w:lineRule="auto"/>
        <w:ind w:left="0" w:right="0"/>
        <w:jc w:val="left"/>
      </w:pPr>
      <w:r>
        <w:rPr>
          <w:rFonts w:ascii="Calibri" w:hAnsi="Calibri" w:eastAsia="Calibri" w:cs="Calibri"/>
          <w:color w:val="000000"/>
          <w:sz w:val="22"/>
          <w:szCs w:val="22"/>
        </w:rPr>
        <w:t xml:space="preserve">Mouttet R &amp; Balmès V (2020) Multiple trappings of </w:t>
      </w:r>
      <w:r>
        <w:rPr>
          <w:rFonts w:ascii="Calibri" w:hAnsi="Calibri" w:eastAsia="Calibri" w:cs="Calibri"/>
          <w:i/>
          <w:iCs/>
          <w:color w:val="000000"/>
          <w:sz w:val="22"/>
          <w:szCs w:val="22"/>
        </w:rPr>
        <w:t xml:space="preserve">Bactrocera dorsalis </w:t>
      </w:r>
      <w:r>
        <w:rPr>
          <w:rFonts w:ascii="Calibri" w:hAnsi="Calibri" w:eastAsia="Calibri" w:cs="Calibri"/>
          <w:color w:val="000000"/>
          <w:sz w:val="22"/>
          <w:szCs w:val="22"/>
        </w:rPr>
        <w:t xml:space="preserve">complex in France during the 2019 national surveillance survey. Book of Abstracts 4th TEAM meeting, La Grande Motte, France, 81. </w:t>
      </w:r>
    </w:p>
    <w:p>
      <w:pPr>
        <w:widowControl w:val="on"/>
        <w:pBdr/>
        <w:spacing w:before="220" w:after="220" w:line="240" w:lineRule="auto"/>
        <w:ind w:left="0" w:right="0"/>
        <w:jc w:val="left"/>
      </w:pPr>
      <w:r>
        <w:rPr>
          <w:rFonts w:ascii="Calibri" w:hAnsi="Calibri" w:eastAsia="Calibri" w:cs="Calibri"/>
          <w:color w:val="000000"/>
          <w:sz w:val="22"/>
          <w:szCs w:val="22"/>
        </w:rPr>
        <w:t xml:space="preserve">Nugnes F, Russo E, Viggiani G &amp; Bernardo U (2018) First record of an invasive fruit fly belonging to </w:t>
      </w:r>
      <w:r>
        <w:rPr>
          <w:rFonts w:ascii="Calibri" w:hAnsi="Calibri" w:eastAsia="Calibri" w:cs="Calibri"/>
          <w:i/>
          <w:iCs/>
          <w:color w:val="000000"/>
          <w:sz w:val="22"/>
          <w:szCs w:val="22"/>
        </w:rPr>
        <w:t xml:space="preserve">Bactrocera dorsalis </w:t>
      </w:r>
      <w:r>
        <w:rPr>
          <w:rFonts w:ascii="Calibri" w:hAnsi="Calibri" w:eastAsia="Calibri" w:cs="Calibri"/>
          <w:color w:val="000000"/>
          <w:sz w:val="22"/>
          <w:szCs w:val="22"/>
        </w:rPr>
        <w:t xml:space="preserve">complex (Diptera: Tephritidae) in Europe. </w:t>
      </w:r>
      <w:r>
        <w:rPr>
          <w:rFonts w:ascii="Calibri" w:hAnsi="Calibri" w:eastAsia="Calibri" w:cs="Calibri"/>
          <w:i/>
          <w:iCs/>
          <w:color w:val="000000"/>
          <w:sz w:val="22"/>
          <w:szCs w:val="22"/>
        </w:rPr>
        <w:t xml:space="preserve">Insects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182.</w:t>
      </w:r>
    </w:p>
    <w:p>
      <w:pPr>
        <w:widowControl w:val="on"/>
        <w:pBdr/>
        <w:spacing w:before="220" w:after="220" w:line="240" w:lineRule="auto"/>
        <w:ind w:left="0" w:right="0"/>
        <w:jc w:val="left"/>
      </w:pPr>
      <w:r>
        <w:rPr>
          <w:rFonts w:ascii="Calibri" w:hAnsi="Calibri" w:eastAsia="Calibri" w:cs="Calibri"/>
          <w:color w:val="000000"/>
          <w:sz w:val="22"/>
          <w:szCs w:val="22"/>
        </w:rPr>
        <w:t xml:space="preserve">Rwomushana I, Ekesi S, Gordon I &amp; Ogol CKPO (2008a) Host plants and host plant preference studies for </w:t>
      </w:r>
      <w:r>
        <w:rPr>
          <w:rFonts w:ascii="Calibri" w:hAnsi="Calibri" w:eastAsia="Calibri" w:cs="Calibri"/>
          <w:i/>
          <w:iCs/>
          <w:color w:val="000000"/>
          <w:sz w:val="22"/>
          <w:szCs w:val="22"/>
        </w:rPr>
        <w:t xml:space="preserve">Bactrocera invadens</w:t>
      </w:r>
      <w:r>
        <w:rPr>
          <w:rFonts w:ascii="Calibri" w:hAnsi="Calibri" w:eastAsia="Calibri" w:cs="Calibri"/>
          <w:color w:val="000000"/>
          <w:sz w:val="22"/>
          <w:szCs w:val="22"/>
        </w:rPr>
        <w:t xml:space="preserve"> (Diptera: Tephritidae) in Kenya, a new invasive fruit fly species in Africa.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331-340.</w:t>
      </w:r>
    </w:p>
    <w:p>
      <w:pPr>
        <w:widowControl w:val="on"/>
        <w:pBdr/>
        <w:spacing w:before="220" w:after="220" w:line="240" w:lineRule="auto"/>
        <w:ind w:left="0" w:right="0"/>
        <w:jc w:val="left"/>
      </w:pPr>
      <w:r>
        <w:rPr>
          <w:rFonts w:ascii="Calibri" w:hAnsi="Calibri" w:eastAsia="Calibri" w:cs="Calibri"/>
          <w:color w:val="000000"/>
          <w:sz w:val="22"/>
          <w:szCs w:val="22"/>
        </w:rPr>
        <w:t xml:space="preserve">Rwomushana I, Ekesi S, Ogol CKPO &amp; Gordon I (2008b) Effect of temperature on development and survival of immature stages of</w:t>
      </w:r>
      <w:r>
        <w:rPr>
          <w:rFonts w:ascii="Calibri" w:hAnsi="Calibri" w:eastAsia="Calibri" w:cs="Calibri"/>
          <w:i/>
          <w:iCs/>
          <w:color w:val="000000"/>
          <w:sz w:val="22"/>
          <w:szCs w:val="22"/>
        </w:rPr>
        <w:t xml:space="preserve"> Bactrocera invadens</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132</w:t>
      </w:r>
      <w:r>
        <w:rPr>
          <w:rFonts w:ascii="Calibri" w:hAnsi="Calibri" w:eastAsia="Calibri" w:cs="Calibri"/>
          <w:color w:val="000000"/>
          <w:sz w:val="22"/>
          <w:szCs w:val="22"/>
        </w:rPr>
        <w:t xml:space="preserve">, 832-839.</w:t>
      </w:r>
    </w:p>
    <w:p>
      <w:pPr>
        <w:widowControl w:val="on"/>
        <w:pBdr/>
        <w:spacing w:before="220" w:after="220" w:line="240" w:lineRule="auto"/>
        <w:ind w:left="0" w:right="0"/>
        <w:jc w:val="left"/>
      </w:pPr>
      <w:r>
        <w:rPr>
          <w:rFonts w:ascii="Calibri" w:hAnsi="Calibri" w:eastAsia="Calibri" w:cs="Calibri"/>
          <w:color w:val="000000"/>
          <w:sz w:val="22"/>
          <w:szCs w:val="22"/>
        </w:rPr>
        <w:t xml:space="preserve">Schutze MK, Aketarawong N, Amornsak W, Armstrong KF, Augustinos A, Barr N, Bo W, Bourtzis K, Boykin LM, Caceres C, Cameron SL, Chapman TA, Chinvinijkul S, Chomic A, De Meyer M, Drosopoulou ED, Englezou A, Ekesi S, Gariou-Papalexiou A, Hailstones D, Haymer D, Hee AKW, Hendrichs J, Hasanuzzaman M, Jessup A, Khamis FM, Krosch MN, Leblanc L, Mahmood K, Malacrida AR, Mavragani-Tsipidou P, McInnis DO, Mwatawala M, Nishida R, Ono H, Reyes J, Rubinoff DR, San Jose M, Shelly TE, Srikachar S, Tan KH, Thanaphum S, Ul Haq I, Vijaysegaran S, Wee SL, Yesmin F, Zacharopoulou A &amp; Clarke AR (2014) Synonymization of key pest species within the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Diptera : Tephritidae</w:t>
      </w:r>
      <w:r>
        <w:rPr>
          <w:rFonts w:ascii="Calibri" w:hAnsi="Calibri" w:eastAsia="Calibri" w:cs="Calibri"/>
          <w:color w:val="000000"/>
          <w:sz w:val="22"/>
          <w:szCs w:val="22"/>
        </w:rPr>
        <w:t xml:space="preserve">): taxonomic changes based on a review of 20 years of integrative morphological, molecular, cytogenetic, behavioural, and chemoecological data. </w:t>
      </w:r>
      <w:r>
        <w:rPr>
          <w:rFonts w:ascii="Calibri" w:hAnsi="Calibri" w:eastAsia="Calibri" w:cs="Calibri"/>
          <w:i/>
          <w:iCs/>
          <w:color w:val="000000"/>
          <w:sz w:val="22"/>
          <w:szCs w:val="22"/>
        </w:rPr>
        <w:t xml:space="preserve">Systematic Entomology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(2), 456-471. </w:t>
      </w:r>
      <w:hyperlink r:id="rId3188664b0c907af4e" w:history="1">
        <w:r>
          <w:rPr>
            <w:rFonts w:ascii="Calibri" w:hAnsi="Calibri" w:eastAsia="Calibri" w:cs="Calibri"/>
            <w:color w:val="0000CC"/>
            <w:sz w:val="22"/>
            <w:szCs w:val="22"/>
            <w:u w:val="single"/>
          </w:rPr>
          <w:t xml:space="preserve">https://doi.org/10.1111/syen.12113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Stephens AEA, Kriticos DJ &amp; Leriche A (2007) The current and future potential geographical distribution of the oriental fruit fly, </w:t>
      </w:r>
      <w:r>
        <w:rPr>
          <w:rFonts w:ascii="Calibri" w:hAnsi="Calibri" w:eastAsia="Calibri" w:cs="Calibri"/>
          <w:i/>
          <w:iCs/>
          <w:color w:val="000000"/>
          <w:sz w:val="22"/>
          <w:szCs w:val="22"/>
        </w:rPr>
        <w:t xml:space="preserve">Bactrocera dorsalis </w:t>
      </w:r>
      <w:r>
        <w:rPr>
          <w:rFonts w:ascii="Calibri" w:hAnsi="Calibri" w:eastAsia="Calibri" w:cs="Calibri"/>
          <w:color w:val="000000"/>
          <w:sz w:val="22"/>
          <w:szCs w:val="22"/>
        </w:rPr>
        <w:t xml:space="preserve">(Diptera: Tephritidae). </w:t>
      </w:r>
      <w:r>
        <w:rPr>
          <w:rFonts w:ascii="Calibri" w:hAnsi="Calibri" w:eastAsia="Calibri" w:cs="Calibri"/>
          <w:i/>
          <w:iCs/>
          <w:color w:val="000000"/>
          <w:sz w:val="22"/>
          <w:szCs w:val="22"/>
        </w:rPr>
        <w:t xml:space="preserve">Bulletin of Entomological Research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369-378.</w:t>
      </w:r>
    </w:p>
    <w:p>
      <w:pPr>
        <w:widowControl w:val="on"/>
        <w:pBdr/>
        <w:spacing w:before="220" w:after="220" w:line="240" w:lineRule="auto"/>
        <w:ind w:left="0" w:right="0"/>
        <w:jc w:val="left"/>
      </w:pPr>
      <w:r>
        <w:rPr>
          <w:rFonts w:ascii="Calibri" w:hAnsi="Calibri" w:eastAsia="Calibri" w:cs="Calibri"/>
          <w:color w:val="000000"/>
          <w:sz w:val="22"/>
          <w:szCs w:val="22"/>
        </w:rPr>
        <w:t xml:space="preserve">Unahawutti U, Intarakumheng R, Oonthonglang P, Phankum S &amp; Follett PA (2014) Nonhost status of mangosteen to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Bactrocera carambolae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Diptera: Tephritidae</w:t>
      </w:r>
      <w:r>
        <w:rPr>
          <w:rFonts w:ascii="Calibri" w:hAnsi="Calibri" w:eastAsia="Calibri" w:cs="Calibri"/>
          <w:color w:val="000000"/>
          <w:sz w:val="22"/>
          <w:szCs w:val="22"/>
        </w:rPr>
        <w:t xml:space="preserve">) in Thailand.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1355-1361.</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(2021) United States Department of Agriculture Treatment Manual. </w:t>
      </w:r>
      <w:hyperlink r:id="rId8112664b0c907b0d5" w:history="1">
        <w:r>
          <w:rPr>
            <w:rFonts w:ascii="Calibri" w:hAnsi="Calibri" w:eastAsia="Calibri" w:cs="Calibri"/>
            <w:color w:val="0000CC"/>
            <w:sz w:val="22"/>
            <w:szCs w:val="22"/>
            <w:u w:val="single"/>
          </w:rPr>
          <w:t xml:space="preserve">https://www.aphis.usda.gov/import_export/plants/manuals/ports/downloads/treatment.pdf</w:t>
        </w:r>
      </w:hyperlink>
      <w:r>
        <w:rPr>
          <w:rFonts w:ascii="Calibri" w:hAnsi="Calibri" w:eastAsia="Calibri" w:cs="Calibri"/>
          <w:color w:val="000000"/>
          <w:sz w:val="22"/>
          <w:szCs w:val="22"/>
        </w:rPr>
        <w:t xml:space="preserve"> [accessed on 2021-04-23]</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Miyashita D &amp; Nishida T (1984) Life-history and demographic parameters of three laboratory-reared Tephritids (Diptera: Tephritidae).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651-656.</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Walsh WA, Kanehisa D, Stark JD &amp; Nishida T (2000) Comparative demography of three Hawaiian fruit flies (Diptera: Tephritidae) at alternating temperatures.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75-81.</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Leblanc L, Putoa R &amp; Eitam A (2007) Impact of introduction of </w:t>
      </w:r>
      <w:r>
        <w:rPr>
          <w:rFonts w:ascii="Calibri" w:hAnsi="Calibri" w:eastAsia="Calibri" w:cs="Calibri"/>
          <w:i/>
          <w:iCs/>
          <w:color w:val="000000"/>
          <w:sz w:val="22"/>
          <w:szCs w:val="22"/>
        </w:rPr>
        <w:t xml:space="preserve">Bactrocera dorsalis </w:t>
      </w:r>
      <w:r>
        <w:rPr>
          <w:rFonts w:ascii="Calibri" w:hAnsi="Calibri" w:eastAsia="Calibri" w:cs="Calibri"/>
          <w:color w:val="000000"/>
          <w:sz w:val="22"/>
          <w:szCs w:val="22"/>
        </w:rPr>
        <w:t xml:space="preserve">(Diptera: Tephritidae) and classical biological control releases of </w:t>
      </w:r>
      <w:r>
        <w:rPr>
          <w:rFonts w:ascii="Calibri" w:hAnsi="Calibri" w:eastAsia="Calibri" w:cs="Calibri"/>
          <w:i/>
          <w:iCs/>
          <w:color w:val="000000"/>
          <w:sz w:val="22"/>
          <w:szCs w:val="22"/>
        </w:rPr>
        <w:t xml:space="preserve">Fopius arisanus </w:t>
      </w:r>
      <w:r>
        <w:rPr>
          <w:rFonts w:ascii="Calibri" w:hAnsi="Calibri" w:eastAsia="Calibri" w:cs="Calibri"/>
          <w:color w:val="000000"/>
          <w:sz w:val="22"/>
          <w:szCs w:val="22"/>
        </w:rPr>
        <w:t xml:space="preserve">(Hymenoptera: Braconidae) on economically important fruit flies in French Polynesia.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670-679.</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Leblanc L, Pinero JC &amp; Hoffman KM (2014) Male annihilation, past, present, and future. In </w:t>
      </w:r>
      <w:r>
        <w:rPr>
          <w:rFonts w:ascii="Calibri" w:hAnsi="Calibri" w:eastAsia="Calibri" w:cs="Calibri"/>
          <w:i/>
          <w:iCs/>
          <w:color w:val="000000"/>
          <w:sz w:val="22"/>
          <w:szCs w:val="22"/>
        </w:rPr>
        <w:t xml:space="preserve">Trapping and the detection, control, and regulation of tephritid fruit flies</w:t>
      </w:r>
      <w:r>
        <w:rPr>
          <w:rFonts w:ascii="Calibri" w:hAnsi="Calibri" w:eastAsia="Calibri" w:cs="Calibri"/>
          <w:color w:val="000000"/>
          <w:sz w:val="22"/>
          <w:szCs w:val="22"/>
        </w:rPr>
        <w:t xml:space="preserve">. (Eds Shelly TE, Epsky N, Jang EB, Reyes-Flores J &amp; Vargas R), pp 493-511.Springer Verlag, Dordrecht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Vayssieres JF, Korie S &amp; Ayegnon D (2009) Correlation of fruit fly (Diptera: Tephritidae) infestation of major mango cultivars in Borgou (Benin) with abiotic and biotic factors and assessment of damage.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477-488. </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(UK), xii+601 pp</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hyperlink r:id="rId1001664b0c907b41b" w:history="1">
        <w:r>
          <w:rPr>
            <w:rFonts w:ascii="Calibri" w:hAnsi="Calibri" w:eastAsia="Calibri" w:cs="Calibri"/>
            <w:color w:val="0000CC"/>
            <w:sz w:val="22"/>
            <w:szCs w:val="22"/>
            <w:u w:val="single"/>
          </w:rPr>
          <w:t xml:space="preserve">http://www.cabi.org/isc/datasheet/17685</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EPPO datasheets on pests recommended for regulation. Available online. </w:t>
      </w:r>
      <w:hyperlink r:id="rId9370664b0c907b4e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41, Trypetidae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w:t>
      </w:r>
      <w:hyperlink r:id="rId7621664b0c907b657" w:history="1">
        <w:r>
          <w:rPr>
            <w:rFonts w:ascii="Calibri" w:hAnsi="Calibri" w:eastAsia="Calibri" w:cs="Calibri"/>
            <w:color w:val="0000CC"/>
            <w:sz w:val="22"/>
            <w:szCs w:val="22"/>
            <w:u w:val="single"/>
          </w:rPr>
          <w:t xml:space="preserve">https://doi.org/10.1111/j.1365-2338.1983.tb01715.x</w:t>
        </w:r>
      </w:hyperlink>
      <w:r>
        <w:rPr>
          <w:rFonts w:ascii="Calibri" w:hAnsi="Calibri" w:eastAsia="Calibri" w:cs="Calibri"/>
          <w:color w:val="000000"/>
          <w:sz w:val="22"/>
          <w:szCs w:val="22"/>
        </w:rPr>
        <w:t xml:space="preserve"> </w:t>
      </w:r>
    </w:p>
    <w:p>
      <w:r>
        <w:drawing>
          <wp:inline distT="0" distB="0" distL="0" distR="0">
            <wp:extent cx="1800000" cy="604800"/>
            <wp:docPr id="37947031" name="name6140664b0c907b6d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119664b0c907b6d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797431">
    <w:multiLevelType w:val="hybridMultilevel"/>
    <w:lvl w:ilvl="0" w:tplc="60595457">
      <w:start w:val="1"/>
      <w:numFmt w:val="decimal"/>
      <w:lvlText w:val="%1."/>
      <w:lvlJc w:val="left"/>
      <w:pPr>
        <w:ind w:left="720" w:hanging="360"/>
      </w:pPr>
    </w:lvl>
    <w:lvl w:ilvl="1" w:tplc="60595457" w:tentative="1">
      <w:start w:val="1"/>
      <w:numFmt w:val="lowerLetter"/>
      <w:lvlText w:val="%2."/>
      <w:lvlJc w:val="left"/>
      <w:pPr>
        <w:ind w:left="1440" w:hanging="360"/>
      </w:pPr>
    </w:lvl>
    <w:lvl w:ilvl="2" w:tplc="60595457" w:tentative="1">
      <w:start w:val="1"/>
      <w:numFmt w:val="lowerRoman"/>
      <w:lvlText w:val="%3."/>
      <w:lvlJc w:val="right"/>
      <w:pPr>
        <w:ind w:left="2160" w:hanging="180"/>
      </w:pPr>
    </w:lvl>
    <w:lvl w:ilvl="3" w:tplc="60595457" w:tentative="1">
      <w:start w:val="1"/>
      <w:numFmt w:val="decimal"/>
      <w:lvlText w:val="%4."/>
      <w:lvlJc w:val="left"/>
      <w:pPr>
        <w:ind w:left="2880" w:hanging="360"/>
      </w:pPr>
    </w:lvl>
    <w:lvl w:ilvl="4" w:tplc="60595457" w:tentative="1">
      <w:start w:val="1"/>
      <w:numFmt w:val="lowerLetter"/>
      <w:lvlText w:val="%5."/>
      <w:lvlJc w:val="left"/>
      <w:pPr>
        <w:ind w:left="3600" w:hanging="360"/>
      </w:pPr>
    </w:lvl>
    <w:lvl w:ilvl="5" w:tplc="60595457" w:tentative="1">
      <w:start w:val="1"/>
      <w:numFmt w:val="lowerRoman"/>
      <w:lvlText w:val="%6."/>
      <w:lvlJc w:val="right"/>
      <w:pPr>
        <w:ind w:left="4320" w:hanging="180"/>
      </w:pPr>
    </w:lvl>
    <w:lvl w:ilvl="6" w:tplc="60595457" w:tentative="1">
      <w:start w:val="1"/>
      <w:numFmt w:val="decimal"/>
      <w:lvlText w:val="%7."/>
      <w:lvlJc w:val="left"/>
      <w:pPr>
        <w:ind w:left="5040" w:hanging="360"/>
      </w:pPr>
    </w:lvl>
    <w:lvl w:ilvl="7" w:tplc="60595457" w:tentative="1">
      <w:start w:val="1"/>
      <w:numFmt w:val="lowerLetter"/>
      <w:lvlText w:val="%8."/>
      <w:lvlJc w:val="left"/>
      <w:pPr>
        <w:ind w:left="5760" w:hanging="360"/>
      </w:pPr>
    </w:lvl>
    <w:lvl w:ilvl="8" w:tplc="60595457" w:tentative="1">
      <w:start w:val="1"/>
      <w:numFmt w:val="lowerRoman"/>
      <w:lvlText w:val="%9."/>
      <w:lvlJc w:val="right"/>
      <w:pPr>
        <w:ind w:left="6480" w:hanging="180"/>
      </w:pPr>
    </w:lvl>
  </w:abstractNum>
  <w:abstractNum w:abstractNumId="79797430">
    <w:multiLevelType w:val="hybridMultilevel"/>
    <w:lvl w:ilvl="0" w:tplc="960459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797430">
    <w:abstractNumId w:val="79797430"/>
  </w:num>
  <w:num w:numId="79797431">
    <w:abstractNumId w:val="7979743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92468699" Type="http://schemas.microsoft.com/office/2011/relationships/commentsExtended" Target="commentsExtended.xml"/><Relationship Id="rId468048172" Type="http://schemas.microsoft.com/office/2011/relationships/people" Target="people.xml"/><Relationship Id="rId1696664b0c9073a77" Type="http://schemas.openxmlformats.org/officeDocument/2006/relationships/hyperlink" Target="https://gd.eppo.int/taxon/DACUDO/" TargetMode="External"/><Relationship Id="rId7782664b0c9073ae6" Type="http://schemas.openxmlformats.org/officeDocument/2006/relationships/hyperlink" Target="https://gd.eppo.int/taxon/DACUDO/categorization" TargetMode="External"/><Relationship Id="rId8045664b0c90744c6" Type="http://schemas.openxmlformats.org/officeDocument/2006/relationships/hyperlink" Target="https://gd.eppo.int/taxon/DACUDO/photos" TargetMode="External"/><Relationship Id="rId5599664b0c9079fe7" Type="http://schemas.openxmlformats.org/officeDocument/2006/relationships/hyperlink" Target="http://www.boldsystems.org/index.php/Taxbrowser_Taxonpage?taxon=Bactrocera+dorsalis&amp;searchTax=" TargetMode="External"/><Relationship Id="rId7493664b0c907a03c" Type="http://schemas.openxmlformats.org/officeDocument/2006/relationships/hyperlink" Target="http://www.boldsystems.org/index.php/Taxbrowser_Taxonpage?taxon=Bactrocera+invadens&amp;searchTax=" TargetMode="External"/><Relationship Id="rId5101664b0c907a0aa" Type="http://schemas.openxmlformats.org/officeDocument/2006/relationships/hyperlink" Target="https://qbank.eppo.int/arthropods/taxon/DACUDO/" TargetMode="External"/><Relationship Id="rId8718664b0c907a655" Type="http://schemas.openxmlformats.org/officeDocument/2006/relationships/hyperlink" Target="https://doi.org/10.2903/j.efsa.2020.5931" TargetMode="External"/><Relationship Id="rId4202664b0c907aa8b" Type="http://schemas.openxmlformats.org/officeDocument/2006/relationships/hyperlink" Target="https://assets.ippc.int/static/media/files/publication/en/2019/02/PT_32_2018_En_VHT_Bactr_papaya_2018-04-21_WithCover.pdf" TargetMode="External"/><Relationship Id="rId5243664b0c907ac45" Type="http://schemas.openxmlformats.org/officeDocument/2006/relationships/hyperlink" Target="https://coffhi.cphst.org/" TargetMode="External"/><Relationship Id="rId3188664b0c907af4e" Type="http://schemas.openxmlformats.org/officeDocument/2006/relationships/hyperlink" Target="https://doi.org/10.1111/syen.12113" TargetMode="External"/><Relationship Id="rId8112664b0c907b0d5" Type="http://schemas.openxmlformats.org/officeDocument/2006/relationships/hyperlink" Target="https://www.aphis.usda.gov/import_export/plants/manuals/ports/downloads/treatment.pdf" TargetMode="External"/><Relationship Id="rId1001664b0c907b41b" Type="http://schemas.openxmlformats.org/officeDocument/2006/relationships/hyperlink" Target="http://www.cabi.org/isc/datasheet/17685" TargetMode="External"/><Relationship Id="rId9370664b0c907b4e0" Type="http://schemas.openxmlformats.org/officeDocument/2006/relationships/hyperlink" Target="https://gd.eppo.int" TargetMode="External"/><Relationship Id="rId7621664b0c907b657" Type="http://schemas.openxmlformats.org/officeDocument/2006/relationships/hyperlink" Target="https://doi.org/10.1111/j.1365-2338.1983.tb01715.x" TargetMode="External"/><Relationship Id="rId3393664b0c9074380" Type="http://schemas.openxmlformats.org/officeDocument/2006/relationships/image" Target="media/imgrId3393664b0c9074380.jpg"/><Relationship Id="rId3807664b0c90796d5" Type="http://schemas.openxmlformats.org/officeDocument/2006/relationships/image" Target="media/imgrId3807664b0c90796d5.jpg"/><Relationship Id="rId9119664b0c907b6d8" Type="http://schemas.openxmlformats.org/officeDocument/2006/relationships/image" Target="media/imgrId9119664b0c907b6d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