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pyrifoliae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pyrifoliae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Drew &amp; Hancock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hyperlink r:id="rId6530664aefe2e273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8106664aefe2e277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BCTRPY</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Bactrocera pyrifoliae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Known from a limited but varied list of hosts belonging to five different plant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ramiflora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Macropanax concinnus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Xanthophyllum flavescens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only reported from northern Vietnam and Thailand. According to Khahn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Vietnam it only occurs at higher elevations (between 1000 and 1500 m a.s.l.).</w:t>
      </w:r>
    </w:p>
    <w:p>
      <w:r>
        <w:drawing>
          <wp:inline distT="0" distB="0" distL="0" distR="0">
            <wp:extent cx="6120000" cy="3067200"/>
            <wp:docPr id="60480992" name="name1718664aefe2e38bd" descr="BCTRP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PY_distribution_map.jpg"/>
                    <pic:cNvPicPr/>
                  </pic:nvPicPr>
                  <pic:blipFill>
                    <a:blip r:embed="rId8819664aefe2e38b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Thailand,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The general life cycle is considered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Khanh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provides some biological information on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based upon field observations in Vietnam and laboratory experiments. Infested fruits were recovered from mid-June till mid-July. However, fruits collected from hosts located below 1000m in elevation were not infested. In laboratory rearing, the mean duration of the life cycle from egg deposition to adult sexual maturity was 46 days on average, with an average duration for egg, larval and pupal stage of 2.5, 9.7 and 11.5 days respectively.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larvae of </w:t>
      </w:r>
      <w:r>
        <w:rPr>
          <w:rFonts w:ascii="Calibri" w:hAnsi="Calibri" w:eastAsia="Calibri" w:cs="Calibri"/>
          <w:i/>
          <w:iCs/>
          <w:color w:val="000000"/>
          <w:sz w:val="22"/>
          <w:szCs w:val="22"/>
        </w:rPr>
        <w:t xml:space="preserve">B. pyrifoliae </w:t>
      </w:r>
      <w:r>
        <w:rPr>
          <w:rFonts w:ascii="Calibri" w:hAnsi="Calibri" w:eastAsia="Calibri" w:cs="Calibri"/>
          <w:color w:val="000000"/>
          <w:sz w:val="22"/>
          <w:szCs w:val="22"/>
        </w:rPr>
        <w:t xml:space="preserve">have not been described in detail.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Additional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medium-sized circular black spots; postpronotal lobes and notopleura yellow; scutum black except dark brown posterolateral to lateral postsutural vittae and dark red-brown anterior to notopleural suture and inside postpronotal lobes; narrow lateral postsutural yellow vittae tapering posteriorly to end before intra-alar seta; medial postsutural yellow vitta absent; mesopleural stripe equal in width to notopleuron dorsally; scutellum yellow; legs with femora fulvous except for a small subapical oval black spot on outer surfaces of fore femora and dark fuscous around apices of mid and hind femora; fore and mid tibiae dark fuscous, hind tibiae black; wing with cells bc and c colourless, microtrichia in outer corner of cell c only; a narrow fuscous costal band confluent with R2+3 and with a slight swelling around apex of R4+5; a narrow fuscous anal streak; supernumerary lobe of medium development; abdominal terga III-V orange-brown and generally with a ‘T’ pattern consisting of a narrow to medium width transverse fuscous to black band across anterior margin of tergum III which expands to cover outer one-third of lateral margins, a narrow to medium width medial longitudinal dark fuscous to black band, tergum V with a narrow to medium width medial longitudinal dark fuscous to black band and dark fuscous to black anterolateral corners which may also meet along anterior margin, a pair of oval dark fuscous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Wing, supernumerary lobe weak; pecten absent from abdominal tergum III. Ovipositor basal segment fuscous, dorsoventrally compressed and tapering posteriorly in dorsal view; ratio of length of oviscape to length of tergum V, 1.2:1;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is difficult and needs expert confirmation. See ISPM 27 DP 29  (IPPC, 2019) for details on how to differentiate between the main species of commercial importance belonging to the species complex.</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pyrifoliae </w:t>
      </w:r>
      <w:r>
        <w:rPr>
          <w:rFonts w:ascii="Calibri" w:hAnsi="Calibri" w:eastAsia="Calibri" w:cs="Calibri"/>
          <w:color w:val="000000"/>
          <w:sz w:val="22"/>
          <w:szCs w:val="22"/>
        </w:rPr>
        <w:t xml:space="preserve">through DNA barcoding is currently not possible as no reference sequences are available on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(BOLD).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most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can be monitored by traps baited with male lures, </w:t>
      </w:r>
      <w:r>
        <w:rPr>
          <w:rFonts w:ascii="Calibri" w:hAnsi="Calibri" w:eastAsia="Calibri" w:cs="Calibri"/>
          <w:i/>
          <w:iCs/>
          <w:color w:val="000000"/>
          <w:sz w:val="22"/>
          <w:szCs w:val="22"/>
        </w:rPr>
        <w:t xml:space="preserve">B. pyrifoliae </w:t>
      </w:r>
      <w:r>
        <w:rPr>
          <w:rFonts w:ascii="Calibri" w:hAnsi="Calibri" w:eastAsia="Calibri" w:cs="Calibri"/>
          <w:color w:val="000000"/>
          <w:sz w:val="22"/>
          <w:szCs w:val="22"/>
        </w:rPr>
        <w:t xml:space="preserve">is not known to be attracted significantly to any male lure. There may be a weak attraction of males to cue lure according to Drew &amp; Romig (2013), although Nishida and Tan (2016) record a no-lure response.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Peaches are heavily infested in Northern Vietnam from early June till harvest in mid July (reaching levels up to 100%) according to Khanh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Vijaysegaran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using a converted brewery yeast waste product, was used against combined infestation of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pyrifoliae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in peach orchards in Northern Vietnam and reduced the damage considerably (from 100% to less than 4%) according to Vijaysegaran (2016).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pyrifoliae </w:t>
      </w:r>
      <w:r>
        <w:rPr>
          <w:rFonts w:ascii="Calibri" w:hAnsi="Calibri" w:eastAsia="Calibri" w:cs="Calibri"/>
          <w:color w:val="000000"/>
          <w:sz w:val="22"/>
          <w:szCs w:val="22"/>
        </w:rPr>
        <w:t xml:space="preserve">is a known pest of peach in the area where it is present. It can be moved in trade with infested fruit. No detailed study was made on climatic suitability of the EPPO region for this species,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is known to occur at higher altitudes in its native range, which could indicate preference for cooler conditions, corresponding to temperate climate conditions within parts of the EPPO region. Transient populations could also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pyrifoliae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18, 5931, 62pp. </w:t>
      </w:r>
      <w:hyperlink r:id="rId6412664aefe2e42b6"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2,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Khanh LD, Hien NTT, Trang VT, Toan TT &amp; Rull J (2014) Basic biology and artificial rearing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pyrifoliae</w:t>
      </w:r>
      <w:r>
        <w:rPr>
          <w:rFonts w:ascii="Calibri" w:hAnsi="Calibri" w:eastAsia="Calibri" w:cs="Calibri"/>
          <w:color w:val="000000"/>
          <w:sz w:val="22"/>
          <w:szCs w:val="22"/>
        </w:rPr>
        <w:t xml:space="preserve"> (Diptera: Tephritidae), a pest of peaches and plums in northern Vietnam.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148-153.</w:t>
      </w:r>
    </w:p>
    <w:p>
      <w:pPr>
        <w:widowControl w:val="on"/>
        <w:pBdr/>
        <w:spacing w:before="220" w:after="220" w:line="240" w:lineRule="auto"/>
        <w:ind w:left="0" w:right="0"/>
        <w:jc w:val="left"/>
      </w:pPr>
      <w:r>
        <w:rPr>
          <w:rFonts w:ascii="Calibri" w:hAnsi="Calibri" w:eastAsia="Calibri" w:cs="Calibri"/>
          <w:color w:val="000000"/>
          <w:sz w:val="22"/>
          <w:szCs w:val="22"/>
        </w:rPr>
        <w:t xml:space="preserve">Nishida R &amp; Tan K-H (2016) Search for new fruit fly attractants from plants: a review.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ISFFEI</w:t>
      </w:r>
      <w:r>
        <w:rPr>
          <w:rFonts w:ascii="Calibri" w:hAnsi="Calibri" w:eastAsia="Calibri" w:cs="Calibri"/>
          <w:color w:val="000000"/>
          <w:sz w:val="22"/>
          <w:szCs w:val="22"/>
        </w:rPr>
        <w:t xml:space="preserve">, 249-262.</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Vijaysegaran S (2016) Bait manufactured from beer yeast waste and its use for fruit fly management.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ISFFEI,</w:t>
      </w:r>
      <w:r>
        <w:rPr>
          <w:rFonts w:ascii="Calibri" w:hAnsi="Calibri" w:eastAsia="Calibri" w:cs="Calibri"/>
          <w:color w:val="000000"/>
          <w:sz w:val="22"/>
          <w:szCs w:val="22"/>
        </w:rPr>
        <w:t xml:space="preserve"> 227-248.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pyrifoliae</w:t>
      </w:r>
      <w:r>
        <w:rPr>
          <w:rFonts w:ascii="Calibri" w:hAnsi="Calibri" w:eastAsia="Calibri" w:cs="Calibri"/>
          <w:color w:val="000000"/>
          <w:sz w:val="22"/>
          <w:szCs w:val="22"/>
        </w:rPr>
        <w:t xml:space="preserve">. EPPO datasheets on pests recommended for regulation. Available online. </w:t>
      </w:r>
      <w:hyperlink r:id="rId1952664aefe2e468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0942432" name="name7343664aefe2e491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199664aefe2e491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983734">
    <w:multiLevelType w:val="hybridMultilevel"/>
    <w:lvl w:ilvl="0" w:tplc="11204473">
      <w:start w:val="1"/>
      <w:numFmt w:val="decimal"/>
      <w:lvlText w:val="%1."/>
      <w:lvlJc w:val="left"/>
      <w:pPr>
        <w:ind w:left="720" w:hanging="360"/>
      </w:pPr>
    </w:lvl>
    <w:lvl w:ilvl="1" w:tplc="11204473" w:tentative="1">
      <w:start w:val="1"/>
      <w:numFmt w:val="lowerLetter"/>
      <w:lvlText w:val="%2."/>
      <w:lvlJc w:val="left"/>
      <w:pPr>
        <w:ind w:left="1440" w:hanging="360"/>
      </w:pPr>
    </w:lvl>
    <w:lvl w:ilvl="2" w:tplc="11204473" w:tentative="1">
      <w:start w:val="1"/>
      <w:numFmt w:val="lowerRoman"/>
      <w:lvlText w:val="%3."/>
      <w:lvlJc w:val="right"/>
      <w:pPr>
        <w:ind w:left="2160" w:hanging="180"/>
      </w:pPr>
    </w:lvl>
    <w:lvl w:ilvl="3" w:tplc="11204473" w:tentative="1">
      <w:start w:val="1"/>
      <w:numFmt w:val="decimal"/>
      <w:lvlText w:val="%4."/>
      <w:lvlJc w:val="left"/>
      <w:pPr>
        <w:ind w:left="2880" w:hanging="360"/>
      </w:pPr>
    </w:lvl>
    <w:lvl w:ilvl="4" w:tplc="11204473" w:tentative="1">
      <w:start w:val="1"/>
      <w:numFmt w:val="lowerLetter"/>
      <w:lvlText w:val="%5."/>
      <w:lvlJc w:val="left"/>
      <w:pPr>
        <w:ind w:left="3600" w:hanging="360"/>
      </w:pPr>
    </w:lvl>
    <w:lvl w:ilvl="5" w:tplc="11204473" w:tentative="1">
      <w:start w:val="1"/>
      <w:numFmt w:val="lowerRoman"/>
      <w:lvlText w:val="%6."/>
      <w:lvlJc w:val="right"/>
      <w:pPr>
        <w:ind w:left="4320" w:hanging="180"/>
      </w:pPr>
    </w:lvl>
    <w:lvl w:ilvl="6" w:tplc="11204473" w:tentative="1">
      <w:start w:val="1"/>
      <w:numFmt w:val="decimal"/>
      <w:lvlText w:val="%7."/>
      <w:lvlJc w:val="left"/>
      <w:pPr>
        <w:ind w:left="5040" w:hanging="360"/>
      </w:pPr>
    </w:lvl>
    <w:lvl w:ilvl="7" w:tplc="11204473" w:tentative="1">
      <w:start w:val="1"/>
      <w:numFmt w:val="lowerLetter"/>
      <w:lvlText w:val="%8."/>
      <w:lvlJc w:val="left"/>
      <w:pPr>
        <w:ind w:left="5760" w:hanging="360"/>
      </w:pPr>
    </w:lvl>
    <w:lvl w:ilvl="8" w:tplc="11204473" w:tentative="1">
      <w:start w:val="1"/>
      <w:numFmt w:val="lowerRoman"/>
      <w:lvlText w:val="%9."/>
      <w:lvlJc w:val="right"/>
      <w:pPr>
        <w:ind w:left="6480" w:hanging="180"/>
      </w:pPr>
    </w:lvl>
  </w:abstractNum>
  <w:abstractNum w:abstractNumId="97983733">
    <w:multiLevelType w:val="hybridMultilevel"/>
    <w:lvl w:ilvl="0" w:tplc="513163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983733">
    <w:abstractNumId w:val="97983733"/>
  </w:num>
  <w:num w:numId="97983734">
    <w:abstractNumId w:val="9798373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9314953" Type="http://schemas.microsoft.com/office/2011/relationships/commentsExtended" Target="commentsExtended.xml"/><Relationship Id="rId879074608" Type="http://schemas.microsoft.com/office/2011/relationships/people" Target="people.xml"/><Relationship Id="rId6530664aefe2e2739" Type="http://schemas.openxmlformats.org/officeDocument/2006/relationships/hyperlink" Target="https://gd.eppo.int/taxon/BCTRPY/" TargetMode="External"/><Relationship Id="rId8106664aefe2e277e" Type="http://schemas.openxmlformats.org/officeDocument/2006/relationships/hyperlink" Target="https://gd.eppo.int/taxon/BCTRPY/categorization" TargetMode="External"/><Relationship Id="rId6412664aefe2e42b6" Type="http://schemas.openxmlformats.org/officeDocument/2006/relationships/hyperlink" Target="https://doi.org/10.2903/j.efsa.2020.5931" TargetMode="External"/><Relationship Id="rId1952664aefe2e4684" Type="http://schemas.openxmlformats.org/officeDocument/2006/relationships/hyperlink" Target="https://gd.eppo.int" TargetMode="External"/><Relationship Id="rId8819664aefe2e38ba" Type="http://schemas.openxmlformats.org/officeDocument/2006/relationships/image" Target="media/imgrId8819664aefe2e38ba.jpg"/><Relationship Id="rId2199664aefe2e491c" Type="http://schemas.openxmlformats.org/officeDocument/2006/relationships/image" Target="media/imgrId2199664aefe2e491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