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occipitalis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occipitalis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(Bezzi)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Chaetodacus ferrugineus occipitalis</w:t>
            </w:r>
            <w:r>
              <w:rPr>
                <w:rFonts w:ascii="Calibri" w:hAnsi="Calibri" w:eastAsia="Calibri" w:cs="Calibri"/>
                <w:color w:val="000000"/>
                <w:position w:val="-3"/>
                <w:sz w:val="22"/>
                <w:szCs w:val="22"/>
              </w:rPr>
              <w:t xml:space="preserve"> (Bezzi), </w:t>
            </w:r>
            <w:r>
              <w:rPr>
                <w:rFonts w:ascii="Calibri" w:hAnsi="Calibri" w:eastAsia="Calibri" w:cs="Calibri"/>
                <w:i/>
                <w:iCs/>
                <w:color w:val="000000"/>
                <w:position w:val="-3"/>
                <w:sz w:val="22"/>
                <w:szCs w:val="22"/>
              </w:rPr>
              <w:t xml:space="preserve">Dacus occipitalis</w:t>
            </w:r>
            <w:r>
              <w:rPr>
                <w:rFonts w:ascii="Calibri" w:hAnsi="Calibri" w:eastAsia="Calibri" w:cs="Calibri"/>
                <w:color w:val="000000"/>
                <w:position w:val="-3"/>
                <w:sz w:val="22"/>
                <w:szCs w:val="22"/>
              </w:rPr>
              <w:t xml:space="preserve"> (Bezzi)</w:t>
            </w:r>
            <w:hyperlink r:id="rId8955665a15e351ef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1311665a15e351f3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BCTROC</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Bactrocera occipitalis </w:t>
      </w:r>
      <w:r>
        <w:rPr>
          <w:rFonts w:ascii="Calibri" w:hAnsi="Calibri" w:eastAsia="Calibri" w:cs="Calibri"/>
          <w:color w:val="000000"/>
          <w:sz w:val="22"/>
          <w:szCs w:val="22"/>
        </w:rPr>
        <w:t xml:space="preserve">belongs to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Drew &amp; Hancock, 1994).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Known from a limited but varied list of hosts belonging to six different plant families. The USDA Compendium of Fruit Fly Host Information (CoFFHI) (Liquido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provides an extensive host list with detailed references.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fruit trees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occipitalis </w:t>
      </w:r>
      <w:r>
        <w:rPr>
          <w:rFonts w:ascii="Calibri" w:hAnsi="Calibri" w:eastAsia="Calibri" w:cs="Calibri"/>
          <w:color w:val="000000"/>
          <w:sz w:val="22"/>
          <w:szCs w:val="22"/>
        </w:rPr>
        <w:t xml:space="preserve">has a restricted distribution and is only recorded from islands in Maritime Southeast Asia, i.e. Borneo Island and the Philippine archipelago. Earlier records of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being introduced in Palau, appear to also comprise </w:t>
      </w:r>
      <w:r>
        <w:rPr>
          <w:rFonts w:ascii="Calibri" w:hAnsi="Calibri" w:eastAsia="Calibri" w:cs="Calibri"/>
          <w:i/>
          <w:iCs/>
          <w:color w:val="000000"/>
          <w:sz w:val="22"/>
          <w:szCs w:val="22"/>
        </w:rPr>
        <w:t xml:space="preserve">B. occipitalis</w:t>
      </w:r>
      <w:r>
        <w:rPr>
          <w:rFonts w:ascii="Calibri" w:hAnsi="Calibri" w:eastAsia="Calibri" w:cs="Calibri"/>
          <w:color w:val="000000"/>
          <w:sz w:val="22"/>
          <w:szCs w:val="22"/>
        </w:rPr>
        <w:t xml:space="preserve"> (see </w:t>
      </w:r>
      <w:hyperlink r:id="rId2976665a15e3521ed" w:history="1">
        <w:r>
          <w:rPr>
            <w:rFonts w:ascii="Calibri" w:hAnsi="Calibri" w:eastAsia="Calibri" w:cs="Calibri"/>
            <w:b/>
            <w:bCs/>
            <w:color w:val="0000CC"/>
            <w:sz w:val="22"/>
            <w:szCs w:val="22"/>
            <w:u w:val="single"/>
          </w:rPr>
          <w:t xml:space="preserve">Pacific Fruit Fly Project</w:t>
        </w:r>
      </w:hyperlink>
      <w:r>
        <w:rPr>
          <w:rFonts w:ascii="Calibri" w:hAnsi="Calibri" w:eastAsia="Calibri" w:cs="Calibri"/>
          <w:color w:val="000000"/>
          <w:sz w:val="22"/>
          <w:szCs w:val="22"/>
        </w:rPr>
        <w:t xml:space="preserve">).</w:t>
      </w:r>
      <w:hyperlink r:id="rId8914665a15e352210" w:history="1"/>
    </w:p>
    <w:p>
      <w:r>
        <w:drawing>
          <wp:inline distT="0" distB="0" distL="0" distR="0">
            <wp:extent cx="6120000" cy="3067200"/>
            <wp:docPr id="58758263" name="name1188665a15e352e8a" descr="BCTRO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TROC_distribution_map.jpg"/>
                    <pic:cNvPicPr/>
                  </pic:nvPicPr>
                  <pic:blipFill>
                    <a:blip r:embed="rId3929665a15e352e8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br/>
        <w:t xml:space="preserve">Asia:</w:t>
      </w:r>
      <w:r>
        <w:rPr>
          <w:rFonts w:ascii="Calibri" w:hAnsi="Calibri" w:eastAsia="Calibri" w:cs="Calibri"/>
          <w:color w:val="000000"/>
          <w:sz w:val="22"/>
          <w:szCs w:val="22"/>
        </w:rPr>
        <w:t xml:space="preserve"> Brunei Darussalam, Indonesia (Kalimantan), Malaysia (Sabah), Philippines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Little is known about the biology of </w:t>
      </w:r>
      <w:r>
        <w:rPr>
          <w:rFonts w:ascii="Calibri" w:hAnsi="Calibri" w:eastAsia="Calibri" w:cs="Calibri"/>
          <w:i/>
          <w:iCs/>
          <w:color w:val="000000"/>
          <w:sz w:val="22"/>
          <w:szCs w:val="22"/>
        </w:rPr>
        <w:t xml:space="preserve">B. occipitalis</w:t>
      </w:r>
      <w:r>
        <w:rPr>
          <w:rFonts w:ascii="Calibri" w:hAnsi="Calibri" w:eastAsia="Calibri" w:cs="Calibri"/>
          <w:color w:val="000000"/>
          <w:sz w:val="22"/>
          <w:szCs w:val="22"/>
        </w:rPr>
        <w:t xml:space="preserve">. The general life cycle is considered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deposited inside fruits by the female puncturing the fruit skin. Three larval stages develop inside the fruit, feeding on the plant tissue. Once mature the third instar larva will leave the fruit, dig down into the soil and turn into a pupa enclosed in a puparium. The adult fly will emerge from the puparium. No information is available regarding the duration of the life cycle or the environmental requirements.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A key for the 3rd-instar larvae is available in White &amp; Elson- Harris (1992) and is useful for an identification to the genus level. The larvae of </w:t>
      </w:r>
      <w:r>
        <w:rPr>
          <w:rFonts w:ascii="Calibri" w:hAnsi="Calibri" w:eastAsia="Calibri" w:cs="Calibri"/>
          <w:i/>
          <w:iCs/>
          <w:color w:val="000000"/>
          <w:sz w:val="22"/>
          <w:szCs w:val="22"/>
        </w:rPr>
        <w:t xml:space="preserve">B. occipitalis </w:t>
      </w:r>
      <w:r>
        <w:rPr>
          <w:rFonts w:ascii="Calibri" w:hAnsi="Calibri" w:eastAsia="Calibri" w:cs="Calibri"/>
          <w:color w:val="000000"/>
          <w:sz w:val="22"/>
          <w:szCs w:val="22"/>
        </w:rPr>
        <w:t xml:space="preserve">have not been described in detail.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color w:val="000000"/>
          <w:sz w:val="22"/>
          <w:szCs w:val="22"/>
        </w:rPr>
        <w:t xml:space="preserve"> (after diagnostic description given by Drew &amp; Romig, 2013. Additional character states character states of the female after Drew &amp; Hancock, 1994)</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r>
        <w:rPr>
          <w:rFonts w:ascii="Calibri" w:hAnsi="Calibri" w:eastAsia="Calibri" w:cs="Calibri"/>
          <w:color w:val="000000"/>
          <w:sz w:val="22"/>
          <w:szCs w:val="22"/>
        </w:rPr>
        <w:br/>
        <w:t xml:space="preserve">Face fulvous with a pair of large oval black spots; postpronotal lobes and notopleura yellow; scutum black except dark red-brown along posterior margin and enclosing prescutellar. setae, below and behind lateral postsutural vittae, around notopleural suture, around anterior margin of notopleura and inside postpronotal lobes; broad parallel-sided or subparallel lateral postsutural yellow vittae ending at intra-alar seta (in some specimens the vittae end behind the intra-alar seta); medial postsutural yellow vitta absent; mesopleural stripe reaching midway between anterior margin of notopleuron and anterior notopleural seta dorsally; scutellum yellow; legs with femora entirely fulvous; fore tibiae pale fuscous to fuscous, mid tibiae pale fuscous to fuscous basally tending paler apically, hind tibiae fuscous; wing with cells bc and c colourless, microtrichia in outer corner of cell c only; a narrow fuscous costal band distinctly overlapping R2+3 and widening markedly across apex of wing; a narrow fuscous anal streak; supernumerary lobe of medium development; abdominal terga III-V with a narrow transverse black band across anterior margin of tergum III and expanding to cover lateral margins, dark fuscous to black rectangular markings anterolaterally of tergum IV which sometimes continue to cover posterolateral margin of this tergum, dark fuscous to black anterolateral corners on tergum V, a very broad medial longitudinal black band over all three terga, a pair of oval orange-brown shining spots on tergum V; abdominal sterna dark coloured.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r>
        <w:rPr>
          <w:rFonts w:ascii="Calibri" w:hAnsi="Calibri" w:eastAsia="Calibri" w:cs="Calibri"/>
          <w:color w:val="000000"/>
          <w:sz w:val="22"/>
          <w:szCs w:val="22"/>
        </w:rPr>
        <w:br/>
        <w:t xml:space="preserve">As for male in the general body colour patterns. Wing, supernumerary lobe weak; pecten absent from abdominal tergum III. Ovipositor basal segment orange-brown, dorsoventrally compressed and tapering posteriorly in dorsal view; ratio of length of oviscape to length of tergum V, 0.68:1; aculeus apex needle shaped. </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differentiation between this species and closely related species within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is difficult and needs expert confirmation. See ISPM 27 DP 29 (IPPC, 2019) for details on how to differentiate between the main species of commercial importance belonging to the species complex.</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of </w:t>
      </w:r>
      <w:r>
        <w:rPr>
          <w:rFonts w:ascii="Calibri" w:hAnsi="Calibri" w:eastAsia="Calibri" w:cs="Calibri"/>
          <w:i/>
          <w:iCs/>
          <w:color w:val="000000"/>
          <w:sz w:val="22"/>
          <w:szCs w:val="22"/>
        </w:rPr>
        <w:t xml:space="preserve">B. occipitalis</w:t>
      </w:r>
      <w:r>
        <w:rPr>
          <w:rFonts w:ascii="Calibri" w:hAnsi="Calibri" w:eastAsia="Calibri" w:cs="Calibri"/>
          <w:color w:val="000000"/>
          <w:sz w:val="22"/>
          <w:szCs w:val="22"/>
        </w:rPr>
        <w:t xml:space="preserve"> through DNA barcoding (COI) proves to be problematic as this species cannot be properly resolved from a number of closely related species, including species from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ISPM 27 DP 29 - IPPC, 2019). Additionally, the presence of unidentified / possibly misidentified reference sequence in the Barcoding Index Number Systems (BINs) in which this species is represented, might also bias its molecular ID. Sequences are available 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hyperlink r:id="rId8711665a15e35340e" w:history="1">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attracted to methyl eugenol. Both sexes can be monitored by traps baited with protein-based attractants.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full impact of </w:t>
      </w:r>
      <w:r>
        <w:rPr>
          <w:rFonts w:ascii="Calibri" w:hAnsi="Calibri" w:eastAsia="Calibri" w:cs="Calibri"/>
          <w:i/>
          <w:iCs/>
          <w:color w:val="000000"/>
          <w:sz w:val="22"/>
          <w:szCs w:val="22"/>
        </w:rPr>
        <w:t xml:space="preserve">B. occipitalis</w:t>
      </w:r>
      <w:r>
        <w:rPr>
          <w:rFonts w:ascii="Calibri" w:hAnsi="Calibri" w:eastAsia="Calibri" w:cs="Calibri"/>
          <w:color w:val="000000"/>
          <w:sz w:val="22"/>
          <w:szCs w:val="22"/>
        </w:rPr>
        <w:t xml:space="preserve"> is not fully understood because of co-occurrence with other similar species such as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Although it is reported from a limited number of commercial fruits, no figures are available on the magnitude of infestation.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occipitalis </w:t>
      </w:r>
      <w:r>
        <w:rPr>
          <w:rFonts w:ascii="Calibri" w:hAnsi="Calibri" w:eastAsia="Calibri" w:cs="Calibri"/>
          <w:color w:val="000000"/>
          <w:sz w:val="22"/>
          <w:szCs w:val="22"/>
        </w:rPr>
        <w:t xml:space="preserve">is a known pest of peach in the area where it is present. It can be moved in trade with infested fruit. No detailed study has been made on climatic suitability of the EPPO region for this species, and it is unclear whether it could become established in the EPPO region. However, even transient populations could impact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B. occipitalis</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occipitalis</w:t>
      </w:r>
      <w:r>
        <w:rPr>
          <w:rFonts w:ascii="Calibri" w:hAnsi="Calibri" w:eastAsia="Calibri" w:cs="Calibri"/>
          <w:color w:val="000000"/>
          <w:sz w:val="22"/>
          <w:szCs w:val="22"/>
        </w:rPr>
        <w:t xml:space="preserve"> 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occipitalis </w:t>
      </w:r>
      <w:r>
        <w:rPr>
          <w:rFonts w:ascii="Calibri" w:hAnsi="Calibri" w:eastAsia="Calibri" w:cs="Calibri"/>
          <w:color w:val="000000"/>
          <w:sz w:val="22"/>
          <w:szCs w:val="22"/>
        </w:rPr>
        <w:t xml:space="preserve">does not occur, or from a place of production found free from the pest by regular inspection for 3 months before harvest. Plants transported with roots from countries or regions where </w:t>
      </w:r>
      <w:r>
        <w:rPr>
          <w:rFonts w:ascii="Calibri" w:hAnsi="Calibri" w:eastAsia="Calibri" w:cs="Calibri"/>
          <w:i/>
          <w:iCs/>
          <w:color w:val="000000"/>
          <w:sz w:val="22"/>
          <w:szCs w:val="22"/>
        </w:rPr>
        <w:t xml:space="preserve">B. occipitalis</w:t>
      </w:r>
      <w:r>
        <w:rPr>
          <w:rFonts w:ascii="Calibri" w:hAnsi="Calibri" w:eastAsia="Calibri" w:cs="Calibri"/>
          <w:color w:val="000000"/>
          <w:sz w:val="22"/>
          <w:szCs w:val="22"/>
        </w:rPr>
        <w:t xml:space="preserve"> occurs should be free from soil, or the soil should be treated against puparia. The plants should not carry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EFSA Journal 18: 5931, 62pp. </w:t>
      </w:r>
      <w:hyperlink r:id="rId9344665a15e353827"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Hancock DL (1994) The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complex of fruit flies (Diptera: Tephritidae: Dacinae) in Asia. </w:t>
      </w:r>
      <w:r>
        <w:rPr>
          <w:rFonts w:ascii="Calibri" w:hAnsi="Calibri" w:eastAsia="Calibri" w:cs="Calibri"/>
          <w:i/>
          <w:iCs/>
          <w:color w:val="000000"/>
          <w:sz w:val="22"/>
          <w:szCs w:val="22"/>
        </w:rPr>
        <w:t xml:space="preserve">Bulletin of Entomological Research suppl.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1-68.</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Tropical Fruit Flies of South-East Asia. CABI, Wallingford, vii+653pp. </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27 Diagnostic protocols for regulated pests DP 29: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International Plant Protection Convention, FAO, Rome (Italy), 39pp.</w:t>
      </w:r>
    </w:p>
    <w:p>
      <w:pPr>
        <w:widowControl w:val="on"/>
        <w:pBdr/>
        <w:spacing w:before="220" w:after="220" w:line="240" w:lineRule="auto"/>
        <w:ind w:left="0" w:right="0"/>
        <w:jc w:val="left"/>
      </w:pPr>
      <w:r>
        <w:rPr>
          <w:rFonts w:ascii="Calibri" w:hAnsi="Calibri" w:eastAsia="Calibri" w:cs="Calibri"/>
          <w:color w:val="000000"/>
          <w:sz w:val="22"/>
          <w:szCs w:val="22"/>
        </w:rPr>
        <w:t xml:space="preserve">Liquido, N.J., K.L.K. Lee &amp; J. Santamaria. 2019. Host plant records of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occipitalis</w:t>
      </w:r>
      <w:r>
        <w:rPr>
          <w:rFonts w:ascii="Calibri" w:hAnsi="Calibri" w:eastAsia="Calibri" w:cs="Calibri"/>
          <w:color w:val="000000"/>
          <w:sz w:val="22"/>
          <w:szCs w:val="22"/>
        </w:rPr>
        <w:t xml:space="preserve"> (Bezzi) (</w:t>
      </w:r>
      <w:r>
        <w:rPr>
          <w:rFonts w:ascii="Calibri" w:hAnsi="Calibri" w:eastAsia="Calibri" w:cs="Calibri"/>
          <w:i/>
          <w:iCs/>
          <w:color w:val="000000"/>
          <w:sz w:val="22"/>
          <w:szCs w:val="22"/>
        </w:rPr>
        <w:t xml:space="preserve">Diptera : Tephritidae</w:t>
      </w:r>
      <w:r>
        <w:rPr>
          <w:rFonts w:ascii="Calibri" w:hAnsi="Calibri" w:eastAsia="Calibri" w:cs="Calibri"/>
          <w:color w:val="000000"/>
          <w:sz w:val="22"/>
          <w:szCs w:val="22"/>
        </w:rPr>
        <w:t xml:space="preserve">), Version 1.0. Available online at USDA Compendium of Fruit Fly Host Information (CoFFHI). </w:t>
      </w:r>
      <w:hyperlink r:id="rId8410665a15e3539fe"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16/05/2020)</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xii+601pp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8559665a15e353b26" w:history="1">
        <w:r>
          <w:rPr>
            <w:rFonts w:ascii="Calibri" w:hAnsi="Calibri" w:eastAsia="Calibri" w:cs="Calibri"/>
            <w:color w:val="0000CC"/>
            <w:sz w:val="22"/>
            <w:szCs w:val="22"/>
            <w:u w:val="single"/>
          </w:rPr>
          <w:t xml:space="preserve">https://www.cabi.org/isc/datasheet/8729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occipitalis</w:t>
      </w:r>
      <w:r>
        <w:rPr>
          <w:rFonts w:ascii="Calibri" w:hAnsi="Calibri" w:eastAsia="Calibri" w:cs="Calibri"/>
          <w:color w:val="000000"/>
          <w:sz w:val="22"/>
          <w:szCs w:val="22"/>
        </w:rPr>
        <w:t xml:space="preserve">. EPPO datasheets on pests recommended for regulation. Available online. </w:t>
      </w:r>
      <w:hyperlink r:id="rId9936665a15e353bd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as part of the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 </w:t>
      </w:r>
      <w:r>
        <w:rPr>
          <w:rFonts w:ascii="Calibri" w:hAnsi="Calibri" w:eastAsia="Calibri" w:cs="Calibri"/>
          <w:color w:val="000000"/>
          <w:sz w:val="22"/>
          <w:szCs w:val="22"/>
        </w:rPr>
        <w:t xml:space="preserve">species complex,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83260871" name="name7310665a15e353d2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420665a15e353d2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149688">
    <w:multiLevelType w:val="hybridMultilevel"/>
    <w:lvl w:ilvl="0" w:tplc="23276877">
      <w:start w:val="1"/>
      <w:numFmt w:val="decimal"/>
      <w:lvlText w:val="%1."/>
      <w:lvlJc w:val="left"/>
      <w:pPr>
        <w:ind w:left="720" w:hanging="360"/>
      </w:pPr>
    </w:lvl>
    <w:lvl w:ilvl="1" w:tplc="23276877" w:tentative="1">
      <w:start w:val="1"/>
      <w:numFmt w:val="lowerLetter"/>
      <w:lvlText w:val="%2."/>
      <w:lvlJc w:val="left"/>
      <w:pPr>
        <w:ind w:left="1440" w:hanging="360"/>
      </w:pPr>
    </w:lvl>
    <w:lvl w:ilvl="2" w:tplc="23276877" w:tentative="1">
      <w:start w:val="1"/>
      <w:numFmt w:val="lowerRoman"/>
      <w:lvlText w:val="%3."/>
      <w:lvlJc w:val="right"/>
      <w:pPr>
        <w:ind w:left="2160" w:hanging="180"/>
      </w:pPr>
    </w:lvl>
    <w:lvl w:ilvl="3" w:tplc="23276877" w:tentative="1">
      <w:start w:val="1"/>
      <w:numFmt w:val="decimal"/>
      <w:lvlText w:val="%4."/>
      <w:lvlJc w:val="left"/>
      <w:pPr>
        <w:ind w:left="2880" w:hanging="360"/>
      </w:pPr>
    </w:lvl>
    <w:lvl w:ilvl="4" w:tplc="23276877" w:tentative="1">
      <w:start w:val="1"/>
      <w:numFmt w:val="lowerLetter"/>
      <w:lvlText w:val="%5."/>
      <w:lvlJc w:val="left"/>
      <w:pPr>
        <w:ind w:left="3600" w:hanging="360"/>
      </w:pPr>
    </w:lvl>
    <w:lvl w:ilvl="5" w:tplc="23276877" w:tentative="1">
      <w:start w:val="1"/>
      <w:numFmt w:val="lowerRoman"/>
      <w:lvlText w:val="%6."/>
      <w:lvlJc w:val="right"/>
      <w:pPr>
        <w:ind w:left="4320" w:hanging="180"/>
      </w:pPr>
    </w:lvl>
    <w:lvl w:ilvl="6" w:tplc="23276877" w:tentative="1">
      <w:start w:val="1"/>
      <w:numFmt w:val="decimal"/>
      <w:lvlText w:val="%7."/>
      <w:lvlJc w:val="left"/>
      <w:pPr>
        <w:ind w:left="5040" w:hanging="360"/>
      </w:pPr>
    </w:lvl>
    <w:lvl w:ilvl="7" w:tplc="23276877" w:tentative="1">
      <w:start w:val="1"/>
      <w:numFmt w:val="lowerLetter"/>
      <w:lvlText w:val="%8."/>
      <w:lvlJc w:val="left"/>
      <w:pPr>
        <w:ind w:left="5760" w:hanging="360"/>
      </w:pPr>
    </w:lvl>
    <w:lvl w:ilvl="8" w:tplc="23276877" w:tentative="1">
      <w:start w:val="1"/>
      <w:numFmt w:val="lowerRoman"/>
      <w:lvlText w:val="%9."/>
      <w:lvlJc w:val="right"/>
      <w:pPr>
        <w:ind w:left="6480" w:hanging="180"/>
      </w:pPr>
    </w:lvl>
  </w:abstractNum>
  <w:abstractNum w:abstractNumId="64149687">
    <w:multiLevelType w:val="hybridMultilevel"/>
    <w:lvl w:ilvl="0" w:tplc="475129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149687">
    <w:abstractNumId w:val="64149687"/>
  </w:num>
  <w:num w:numId="64149688">
    <w:abstractNumId w:val="6414968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72041440" Type="http://schemas.microsoft.com/office/2011/relationships/commentsExtended" Target="commentsExtended.xml"/><Relationship Id="rId902773858" Type="http://schemas.microsoft.com/office/2011/relationships/people" Target="people.xml"/><Relationship Id="rId8955665a15e351ef4" Type="http://schemas.openxmlformats.org/officeDocument/2006/relationships/hyperlink" Target="https://gd.eppo.int/taxon/BCTROC/" TargetMode="External"/><Relationship Id="rId1311665a15e351f39" Type="http://schemas.openxmlformats.org/officeDocument/2006/relationships/hyperlink" Target="https://gd.eppo.int/taxon/BCTROC/categorization" TargetMode="External"/><Relationship Id="rId2976665a15e3521ed" Type="http://schemas.openxmlformats.org/officeDocument/2006/relationships/hyperlink" Target="https://lrd.spc.int/species/bactrocera-occipitalis-bezzi" TargetMode="External"/><Relationship Id="rId8914665a15e352210" Type="http://schemas.openxmlformats.org/officeDocument/2006/relationships/hyperlink" Target="https://lrd.spc.int/species/bactrocera-occipitalis-bezzi" TargetMode="External"/><Relationship Id="rId8711665a15e35340e" Type="http://schemas.openxmlformats.org/officeDocument/2006/relationships/hyperlink" Target="https://www.boldsystems.org/index.php/TaxBrowser_TaxonPage?taxid=79331" TargetMode="External"/><Relationship Id="rId9344665a15e353827" Type="http://schemas.openxmlformats.org/officeDocument/2006/relationships/hyperlink" Target="https://doi.org/10.2903/j.efsa.2020.5931" TargetMode="External"/><Relationship Id="rId8410665a15e3539fe" Type="http://schemas.openxmlformats.org/officeDocument/2006/relationships/hyperlink" Target="https://coffhi.cphst.org/" TargetMode="External"/><Relationship Id="rId8559665a15e353b26" Type="http://schemas.openxmlformats.org/officeDocument/2006/relationships/hyperlink" Target="https://www.cabi.org/isc/datasheet/8729" TargetMode="External"/><Relationship Id="rId9936665a15e353bdd" Type="http://schemas.openxmlformats.org/officeDocument/2006/relationships/hyperlink" Target="https://gd.eppo.int" TargetMode="External"/><Relationship Id="rId3929665a15e352e87" Type="http://schemas.openxmlformats.org/officeDocument/2006/relationships/image" Target="media/imgrId3929665a15e352e87.jpg"/><Relationship Id="rId8420665a15e353d2b" Type="http://schemas.openxmlformats.org/officeDocument/2006/relationships/image" Target="media/imgrId8420665a15e353d2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