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kandiensis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kandiensis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Drew &amp; Hancock</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species D</w:t>
            </w:r>
            <w:hyperlink r:id="rId2012664b2b9362ed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8684664b2b9362f1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BCTRKA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Bactrocera kandiensis </w:t>
      </w:r>
      <w:r>
        <w:rPr>
          <w:rFonts w:ascii="Calibri" w:hAnsi="Calibri" w:eastAsia="Calibri" w:cs="Calibri"/>
          <w:color w:val="000000"/>
          <w:sz w:val="22"/>
          <w:szCs w:val="22"/>
        </w:rPr>
        <w:t xml:space="preserve">belongs to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Drew &amp; Hancock,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pest species has wide range of hosts. It has been reported from approximately 25 different host plants belonging to 14 different families.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Areca catechu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heterophyllus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Careya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zeylanica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is restricted to Sri Lanka.</w:t>
      </w:r>
    </w:p>
    <w:p>
      <w:r>
        <w:drawing>
          <wp:inline distT="0" distB="0" distL="0" distR="0">
            <wp:extent cx="6120000" cy="3067200"/>
            <wp:docPr id="21843677" name="name7599664b2b93641c2" descr="BCTRK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TRKA_distribution_map.jpg"/>
                    <pic:cNvPicPr/>
                  </pic:nvPicPr>
                  <pic:blipFill>
                    <a:blip r:embed="rId9145664b2b93641b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Sri Lanka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The general life cycle is considered similar to those of other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No information is available regarding the duration of the life cycle or the environmental requirements.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larvae of </w:t>
      </w:r>
      <w:r>
        <w:rPr>
          <w:rFonts w:ascii="Calibri" w:hAnsi="Calibri" w:eastAsia="Calibri" w:cs="Calibri"/>
          <w:i/>
          <w:iCs/>
          <w:color w:val="000000"/>
          <w:sz w:val="22"/>
          <w:szCs w:val="22"/>
        </w:rPr>
        <w:t xml:space="preserve">B. kandiensis </w:t>
      </w:r>
      <w:r>
        <w:rPr>
          <w:rFonts w:ascii="Calibri" w:hAnsi="Calibri" w:eastAsia="Calibri" w:cs="Calibri"/>
          <w:color w:val="000000"/>
          <w:sz w:val="22"/>
          <w:szCs w:val="22"/>
        </w:rPr>
        <w:t xml:space="preserve">have not been described in detail.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(after diagnostic description given by Drew &amp; Romig, 2013. Additional character states of the female after Drew &amp; Hancock, 1994)</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Face fulvous with a pair of large oval black spots; postpronotal lobes yellow (anteromedial corners red-brown); notopleura yellow; scutum black except brown below and behind lateral postsutural vittae, around notopleural suture, inside postpronotal lobes, around prescutellar setae and on anterocentral margin; narrow parallel-sided lateral postsutural yellow vittae ending at intra-alar seta; medial postsutural yellow vitta absent; mesopleural stripe slightly wider than notopleuron dorsally; scutellum yellow with a moderately broad black basal band; legs with femora fulvous with dark fuscous on outer apical two-thirds of fore femora, inner apical half of mid and inner apical one-third of hind femora; fore tibiae fuscous, mid tibiae fulvous, hind tibiae dark fuscous; wing with cells bc and c colourless, microtrichia in outer corner of cell c only; a narrow fuscous costal band confluent with R2+3 and remaining narrow around margin of wing to end between extremities of R4+5 and M; a narrow fuscous anal streak; supernumerary lobe of medium development; abdominal terga III-V orange-brown with a narrow transverse black band across anterior margin of tergum III but not covering lateral margins, a very narrow medial longitudinal fuscous to dark fuscous band over all three terga (occasionally interrupted at intersegmental lines) and very narrow fuscous to dark fuscous anterolateral corners on terga IV and V, a pair of oval orange-brown shining spots on tergum V; abdominal sterna dark coloured.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in the general body colour patterns. Wing, supernumerary lobe weak; pecten absent from abdominal tergum III. Ovipositor basal segment orange-brown, dorsoventrally compressed and tapering posteriorly in dorsal view; ratio of length of oviscape to length of tergum V, 1.1:1; aculeus apex needle shaped. </w:t>
      </w:r>
    </w:p>
    <w:p>
      <w:pPr>
        <w:widowControl w:val="on"/>
        <w:pBdr/>
        <w:spacing w:before="220" w:after="220" w:line="240" w:lineRule="auto"/>
        <w:ind w:left="0" w:right="0"/>
        <w:jc w:val="both"/>
      </w:pPr>
      <w:r>
        <w:rPr>
          <w:rFonts w:ascii="Calibri" w:hAnsi="Calibri" w:eastAsia="Calibri" w:cs="Calibri"/>
          <w:color w:val="000000"/>
          <w:sz w:val="22"/>
          <w:szCs w:val="22"/>
        </w:rPr>
        <w:t xml:space="preserve">Remark: differentiation between this species and closely related species within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is difficult and needs expert confirmation. See ISPM 27 DP 29 (IPPC, 2019) for details on how to differentiate between the main species of commercial importance belonging to the species complex.</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through DNA barcoding proves to be problematic as this species cannot be properly resolved from a number of closely related species, including species from the </w:t>
      </w:r>
      <w:r>
        <w:rPr>
          <w:rFonts w:ascii="Calibri" w:hAnsi="Calibri" w:eastAsia="Calibri" w:cs="Calibri"/>
          <w:i/>
          <w:iCs/>
          <w:color w:val="000000"/>
          <w:sz w:val="22"/>
          <w:szCs w:val="22"/>
        </w:rPr>
        <w:t xml:space="preserve">B. dorsalis </w:t>
      </w:r>
      <w:r>
        <w:rPr>
          <w:rFonts w:ascii="Calibri" w:hAnsi="Calibri" w:eastAsia="Calibri" w:cs="Calibri"/>
          <w:color w:val="000000"/>
          <w:sz w:val="22"/>
          <w:szCs w:val="22"/>
        </w:rPr>
        <w:t xml:space="preserve">species complex (see ISPM 27 DP 29 -  IPPC, 2019). Additionally, the presence of unidentified / possibly misidentified reference sequence in BINs in which this species is represented, might also bias its molecular ID.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5809664b2b9364741"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Males are attracted to methyl eugenol. Both sexes can also be monitored by traps baited with protein 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CABI indicates that </w:t>
      </w:r>
      <w:r>
        <w:rPr>
          <w:rFonts w:ascii="Calibri" w:hAnsi="Calibri" w:eastAsia="Calibri" w:cs="Calibri"/>
          <w:i/>
          <w:iCs/>
          <w:color w:val="000000"/>
          <w:sz w:val="22"/>
          <w:szCs w:val="22"/>
        </w:rPr>
        <w:t xml:space="preserve">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kandiensis</w:t>
      </w:r>
      <w:r>
        <w:rPr>
          <w:rFonts w:ascii="Calibri" w:hAnsi="Calibri" w:eastAsia="Calibri" w:cs="Calibri"/>
          <w:color w:val="000000"/>
          <w:sz w:val="22"/>
          <w:szCs w:val="22"/>
        </w:rPr>
        <w:t xml:space="preserve"> can cause 100% damage to unprotected mango.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kandiensis </w:t>
      </w:r>
      <w:r>
        <w:rPr>
          <w:rFonts w:ascii="Calibri" w:hAnsi="Calibri" w:eastAsia="Calibri" w:cs="Calibri"/>
          <w:color w:val="000000"/>
          <w:sz w:val="22"/>
          <w:szCs w:val="22"/>
        </w:rPr>
        <w:t xml:space="preserve">is a known pest of peach in the area where it is present. It can be moved in trade with infested fruit. No detailed study has been made on climatic suitability of the EPPO region for this species, and it is unclear whether it could become established in the EPPO region. However, even transient populations could impact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on the list of fruit flies that satisfy the criteria to be regarded as a potential Union quarantine pest for the EU.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B. kandiensis </w:t>
      </w:r>
      <w:r>
        <w:rPr>
          <w:rFonts w:ascii="Calibri" w:hAnsi="Calibri" w:eastAsia="Calibri" w:cs="Calibri"/>
          <w:color w:val="000000"/>
          <w:sz w:val="22"/>
          <w:szCs w:val="22"/>
        </w:rPr>
        <w:t xml:space="preserve">does not occur, or from a place of production found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B. kandiensis</w:t>
      </w:r>
      <w:r>
        <w:rPr>
          <w:rFonts w:ascii="Calibri" w:hAnsi="Calibri" w:eastAsia="Calibri" w:cs="Calibri"/>
          <w:color w:val="000000"/>
          <w:sz w:val="22"/>
          <w:szCs w:val="22"/>
        </w:rPr>
        <w:t xml:space="preserve"> occurs should be free from soil, or the soil should be treated against puparia. The plants should not carry fruits.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18: 5931, 62pp. </w:t>
      </w:r>
      <w:hyperlink r:id="rId3810664b2b9364ab9" w:history="1">
        <w:r>
          <w:rPr>
            <w:rFonts w:ascii="Calibri" w:hAnsi="Calibri" w:eastAsia="Calibri" w:cs="Calibri"/>
            <w:color w:val="0000CC"/>
            <w:sz w:val="22"/>
            <w:szCs w:val="22"/>
            <w:u w:val="single"/>
          </w:rPr>
          <w:t xml:space="preserve">https://doi.org/10.2903/j.efsa.2020.5931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Hancock DL (1994) The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complex of fruit flies (Diptera: Tephritidae: Dacinae) in Asia. </w:t>
      </w:r>
      <w:r>
        <w:rPr>
          <w:rFonts w:ascii="Calibri" w:hAnsi="Calibri" w:eastAsia="Calibri" w:cs="Calibri"/>
          <w:i/>
          <w:iCs/>
          <w:color w:val="000000"/>
          <w:sz w:val="22"/>
          <w:szCs w:val="22"/>
        </w:rPr>
        <w:t xml:space="preserve">Bulletin of Entomological Research suppl.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Tropical Fruit Flies of South-East Asia. CABI, Wallingford, vii+653pp. </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(2019). ISPM 27 Diagnostic protocols for regulated pests DP 29: </w:t>
      </w:r>
      <w:r>
        <w:rPr>
          <w:rFonts w:ascii="Calibri" w:hAnsi="Calibri" w:eastAsia="Calibri" w:cs="Calibri"/>
          <w:i/>
          <w:iCs/>
          <w:color w:val="000000"/>
          <w:sz w:val="22"/>
          <w:szCs w:val="22"/>
        </w:rPr>
        <w:t xml:space="preserve">Bactrocera dorsalis</w:t>
      </w:r>
      <w:r>
        <w:rPr>
          <w:rFonts w:ascii="Calibri" w:hAnsi="Calibri" w:eastAsia="Calibri" w:cs="Calibri"/>
          <w:color w:val="000000"/>
          <w:sz w:val="22"/>
          <w:szCs w:val="22"/>
        </w:rPr>
        <w:t xml:space="preserve">. International Plant Protection Convention, FAO, Rome (Italy), 39pp.</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9422664b2b9364d84" w:history="1">
        <w:r>
          <w:rPr>
            <w:rFonts w:ascii="Calibri" w:hAnsi="Calibri" w:eastAsia="Calibri" w:cs="Calibri"/>
            <w:color w:val="0000CC"/>
            <w:sz w:val="22"/>
            <w:szCs w:val="22"/>
            <w:u w:val="single"/>
          </w:rPr>
          <w:t xml:space="preserve">https://www.cabi.org/isc/datasheet/8716</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kandiensis</w:t>
      </w:r>
      <w:r>
        <w:rPr>
          <w:rFonts w:ascii="Calibri" w:hAnsi="Calibri" w:eastAsia="Calibri" w:cs="Calibri"/>
          <w:color w:val="000000"/>
          <w:sz w:val="22"/>
          <w:szCs w:val="22"/>
        </w:rPr>
        <w:t xml:space="preserve">. EPPO datasheets on pests recommended for regulation. Available online. </w:t>
      </w:r>
      <w:hyperlink r:id="rId4572664b2b9364e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as part of the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dorsalis </w:t>
      </w:r>
      <w:r>
        <w:rPr>
          <w:rFonts w:ascii="Calibri" w:hAnsi="Calibri" w:eastAsia="Calibri" w:cs="Calibri"/>
          <w:color w:val="000000"/>
          <w:sz w:val="22"/>
          <w:szCs w:val="22"/>
        </w:rPr>
        <w:t xml:space="preserve">species complex,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9719750" name="name8480664b2b9364f8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10664b2b9364f8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543965">
    <w:multiLevelType w:val="hybridMultilevel"/>
    <w:lvl w:ilvl="0" w:tplc="26376232">
      <w:start w:val="1"/>
      <w:numFmt w:val="decimal"/>
      <w:lvlText w:val="%1."/>
      <w:lvlJc w:val="left"/>
      <w:pPr>
        <w:ind w:left="720" w:hanging="360"/>
      </w:pPr>
    </w:lvl>
    <w:lvl w:ilvl="1" w:tplc="26376232" w:tentative="1">
      <w:start w:val="1"/>
      <w:numFmt w:val="lowerLetter"/>
      <w:lvlText w:val="%2."/>
      <w:lvlJc w:val="left"/>
      <w:pPr>
        <w:ind w:left="1440" w:hanging="360"/>
      </w:pPr>
    </w:lvl>
    <w:lvl w:ilvl="2" w:tplc="26376232" w:tentative="1">
      <w:start w:val="1"/>
      <w:numFmt w:val="lowerRoman"/>
      <w:lvlText w:val="%3."/>
      <w:lvlJc w:val="right"/>
      <w:pPr>
        <w:ind w:left="2160" w:hanging="180"/>
      </w:pPr>
    </w:lvl>
    <w:lvl w:ilvl="3" w:tplc="26376232" w:tentative="1">
      <w:start w:val="1"/>
      <w:numFmt w:val="decimal"/>
      <w:lvlText w:val="%4."/>
      <w:lvlJc w:val="left"/>
      <w:pPr>
        <w:ind w:left="2880" w:hanging="360"/>
      </w:pPr>
    </w:lvl>
    <w:lvl w:ilvl="4" w:tplc="26376232" w:tentative="1">
      <w:start w:val="1"/>
      <w:numFmt w:val="lowerLetter"/>
      <w:lvlText w:val="%5."/>
      <w:lvlJc w:val="left"/>
      <w:pPr>
        <w:ind w:left="3600" w:hanging="360"/>
      </w:pPr>
    </w:lvl>
    <w:lvl w:ilvl="5" w:tplc="26376232" w:tentative="1">
      <w:start w:val="1"/>
      <w:numFmt w:val="lowerRoman"/>
      <w:lvlText w:val="%6."/>
      <w:lvlJc w:val="right"/>
      <w:pPr>
        <w:ind w:left="4320" w:hanging="180"/>
      </w:pPr>
    </w:lvl>
    <w:lvl w:ilvl="6" w:tplc="26376232" w:tentative="1">
      <w:start w:val="1"/>
      <w:numFmt w:val="decimal"/>
      <w:lvlText w:val="%7."/>
      <w:lvlJc w:val="left"/>
      <w:pPr>
        <w:ind w:left="5040" w:hanging="360"/>
      </w:pPr>
    </w:lvl>
    <w:lvl w:ilvl="7" w:tplc="26376232" w:tentative="1">
      <w:start w:val="1"/>
      <w:numFmt w:val="lowerLetter"/>
      <w:lvlText w:val="%8."/>
      <w:lvlJc w:val="left"/>
      <w:pPr>
        <w:ind w:left="5760" w:hanging="360"/>
      </w:pPr>
    </w:lvl>
    <w:lvl w:ilvl="8" w:tplc="26376232" w:tentative="1">
      <w:start w:val="1"/>
      <w:numFmt w:val="lowerRoman"/>
      <w:lvlText w:val="%9."/>
      <w:lvlJc w:val="right"/>
      <w:pPr>
        <w:ind w:left="6480" w:hanging="180"/>
      </w:pPr>
    </w:lvl>
  </w:abstractNum>
  <w:abstractNum w:abstractNumId="82543964">
    <w:multiLevelType w:val="hybridMultilevel"/>
    <w:lvl w:ilvl="0" w:tplc="247840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543964">
    <w:abstractNumId w:val="82543964"/>
  </w:num>
  <w:num w:numId="82543965">
    <w:abstractNumId w:val="8254396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2887127" Type="http://schemas.microsoft.com/office/2011/relationships/commentsExtended" Target="commentsExtended.xml"/><Relationship Id="rId241305135" Type="http://schemas.microsoft.com/office/2011/relationships/people" Target="people.xml"/><Relationship Id="rId2012664b2b9362ed7" Type="http://schemas.openxmlformats.org/officeDocument/2006/relationships/hyperlink" Target="https://gd.eppo.int/taxon/BCTRKA/" TargetMode="External"/><Relationship Id="rId8684664b2b9362f1b" Type="http://schemas.openxmlformats.org/officeDocument/2006/relationships/hyperlink" Target="https://gd.eppo.int/taxon/BCTRKA/categorization" TargetMode="External"/><Relationship Id="rId5809664b2b9364741" Type="http://schemas.openxmlformats.org/officeDocument/2006/relationships/hyperlink" Target="https://www.boldsystems.org/index.php/TaxBrowser_TaxonPage?taxid=82040" TargetMode="External"/><Relationship Id="rId3810664b2b9364ab9" Type="http://schemas.openxmlformats.org/officeDocument/2006/relationships/hyperlink" Target="https://doi.org/10.2903/j.efsa.2020.5931" TargetMode="External"/><Relationship Id="rId9422664b2b9364d84" Type="http://schemas.openxmlformats.org/officeDocument/2006/relationships/hyperlink" Target="https://www.cabi.org/isc/datasheet/8716" TargetMode="External"/><Relationship Id="rId4572664b2b9364e3e" Type="http://schemas.openxmlformats.org/officeDocument/2006/relationships/hyperlink" Target="https://gd.eppo.int" TargetMode="External"/><Relationship Id="rId9145664b2b93641be" Type="http://schemas.openxmlformats.org/officeDocument/2006/relationships/image" Target="media/imgrId9145664b2b93641be.jpg"/><Relationship Id="rId8910664b2b9364f8c" Type="http://schemas.openxmlformats.org/officeDocument/2006/relationships/image" Target="media/imgrId8910664b2b9364f8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