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Atropellis piniphila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piniphila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(Weir) Lohmann &amp; Cash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Godroniaceae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arizonica</w:t>
            </w:r>
            <w:r>
              <w:rPr>
                <w:rFonts w:ascii="Calibri" w:hAnsi="Calibri" w:eastAsia="Calibri" w:cs="Calibri"/>
                <w:color w:val="000000"/>
                <w:position w:val="-3"/>
                <w:sz w:val="22"/>
                <w:szCs w:val="22"/>
              </w:rPr>
              <w:t xml:space="preserve"> Lohman &amp; Cash, </w:t>
            </w:r>
            <w:r>
              <w:rPr>
                <w:rFonts w:ascii="Calibri" w:hAnsi="Calibri" w:eastAsia="Calibri" w:cs="Calibri"/>
                <w:i/>
                <w:iCs/>
                <w:color w:val="000000"/>
                <w:position w:val="-3"/>
                <w:sz w:val="22"/>
                <w:szCs w:val="22"/>
              </w:rPr>
              <w:t xml:space="preserve">Cenangium piniphilum</w:t>
            </w:r>
            <w:r>
              <w:rPr>
                <w:rFonts w:ascii="Calibri" w:hAnsi="Calibri" w:eastAsia="Calibri" w:cs="Calibri"/>
                <w:color w:val="000000"/>
                <w:position w:val="-3"/>
                <w:sz w:val="22"/>
                <w:szCs w:val="22"/>
              </w:rPr>
              <w:t xml:space="preserve"> Weir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branch canker of pine, trunk canker of pine, twig blight of pine</w:t>
            </w:r>
            <w:hyperlink r:id="rId5916665999a999b5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748665999a999b9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ATRPPP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9723324" name="name2931665999a99a330" descr="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jpg"/>
                          <pic:cNvPicPr/>
                        </pic:nvPicPr>
                        <pic:blipFill>
                          <a:blip r:embed="rId2682665999a99a32e" cstate="print"/>
                          <a:stretch>
                            <a:fillRect/>
                          </a:stretch>
                        </pic:blipFill>
                        <pic:spPr>
                          <a:xfrm>
                            <a:off x="0" y="0"/>
                            <a:ext cx="2160000" cy="1281600"/>
                          </a:xfrm>
                          <a:prstGeom prst="rect">
                            <a:avLst/>
                          </a:prstGeom>
                          <a:ln w="0">
                            <a:noFill/>
                          </a:ln>
                        </pic:spPr>
                      </pic:pic>
                    </a:graphicData>
                  </a:graphic>
                </wp:inline>
              </w:drawing>
            </w:r>
            <w:hyperlink r:id="rId4370665999a99a44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is one of four native North American species of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The following species have been reported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Lohman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tingens</w:t>
      </w:r>
      <w:r>
        <w:rPr>
          <w:rFonts w:ascii="Calibri" w:hAnsi="Calibri" w:eastAsia="Calibri" w:cs="Calibri"/>
          <w:color w:val="000000"/>
          <w:sz w:val="22"/>
          <w:szCs w:val="22"/>
        </w:rPr>
        <w:t xml:space="preserve"> Lohman &amp; Cash,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(Weir) M.L. Lohman &amp; E.K. Cash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Zeller &amp; Goodding. </w:t>
      </w:r>
      <w:r>
        <w:rPr>
          <w:rFonts w:ascii="Calibri" w:hAnsi="Calibri" w:eastAsia="Calibri" w:cs="Calibri"/>
          <w:i/>
          <w:iCs/>
          <w:color w:val="000000"/>
          <w:sz w:val="22"/>
          <w:szCs w:val="22"/>
        </w:rPr>
        <w:t xml:space="preserve">Atropellis treleasei</w:t>
      </w:r>
      <w:r>
        <w:rPr>
          <w:rFonts w:ascii="Calibri" w:hAnsi="Calibri" w:eastAsia="Calibri" w:cs="Calibri"/>
          <w:color w:val="000000"/>
          <w:sz w:val="22"/>
          <w:szCs w:val="22"/>
        </w:rPr>
        <w:t xml:space="preserve"> (Saccardo) Zeller &amp; Goodding has been transferred to </w:t>
      </w:r>
      <w:r>
        <w:rPr>
          <w:rFonts w:ascii="Calibri" w:hAnsi="Calibri" w:eastAsia="Calibri" w:cs="Calibri"/>
          <w:i/>
          <w:iCs/>
          <w:color w:val="000000"/>
          <w:sz w:val="22"/>
          <w:szCs w:val="22"/>
        </w:rPr>
        <w:t xml:space="preserve">Discocainia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D. treleasei</w:t>
      </w:r>
      <w:r>
        <w:rPr>
          <w:rFonts w:ascii="Calibri" w:hAnsi="Calibri" w:eastAsia="Calibri" w:cs="Calibri"/>
          <w:color w:val="000000"/>
          <w:sz w:val="22"/>
          <w:szCs w:val="22"/>
        </w:rPr>
        <w:t xml:space="preserve"> (Saccardo) J. Reid &amp; Funk. The differentiation between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their morphological and cultural characteristics.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contorta </w:t>
      </w:r>
      <w:r>
        <w:rPr>
          <w:rFonts w:ascii="Calibri" w:hAnsi="Calibri" w:eastAsia="Calibri" w:cs="Calibri"/>
          <w:color w:val="000000"/>
          <w:sz w:val="22"/>
          <w:szCs w:val="22"/>
        </w:rPr>
        <w:t xml:space="preserve">(lodgepole pine) is the major host, but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 also attack </w:t>
      </w:r>
      <w:r>
        <w:rPr>
          <w:rFonts w:ascii="Calibri" w:hAnsi="Calibri" w:eastAsia="Calibri" w:cs="Calibri"/>
          <w:i/>
          <w:iCs/>
          <w:color w:val="000000"/>
          <w:sz w:val="22"/>
          <w:szCs w:val="22"/>
        </w:rPr>
        <w:t xml:space="preserve">P. albicaulis </w:t>
      </w:r>
      <w:r>
        <w:rPr>
          <w:rFonts w:ascii="Calibri" w:hAnsi="Calibri" w:eastAsia="Calibri" w:cs="Calibri"/>
          <w:color w:val="000000"/>
          <w:sz w:val="22"/>
          <w:szCs w:val="22"/>
        </w:rPr>
        <w:t xml:space="preserve">(whitebark pine), </w:t>
      </w:r>
      <w:r>
        <w:rPr>
          <w:rFonts w:ascii="Calibri" w:hAnsi="Calibri" w:eastAsia="Calibri" w:cs="Calibri"/>
          <w:i/>
          <w:iCs/>
          <w:color w:val="000000"/>
          <w:sz w:val="22"/>
          <w:szCs w:val="22"/>
        </w:rPr>
        <w:t xml:space="preserve">P. banksiana </w:t>
      </w:r>
      <w:r>
        <w:rPr>
          <w:rFonts w:ascii="Calibri" w:hAnsi="Calibri" w:eastAsia="Calibri" w:cs="Calibri"/>
          <w:color w:val="000000"/>
          <w:sz w:val="22"/>
          <w:szCs w:val="22"/>
        </w:rPr>
        <w:t xml:space="preserve">(jack pine), </w:t>
      </w:r>
      <w:r>
        <w:rPr>
          <w:rFonts w:ascii="Calibri" w:hAnsi="Calibri" w:eastAsia="Calibri" w:cs="Calibri"/>
          <w:i/>
          <w:iCs/>
          <w:color w:val="000000"/>
          <w:sz w:val="22"/>
          <w:szCs w:val="22"/>
        </w:rPr>
        <w:t xml:space="preserve">P. densiflora </w:t>
      </w:r>
      <w:r>
        <w:rPr>
          <w:rFonts w:ascii="Calibri" w:hAnsi="Calibri" w:eastAsia="Calibri" w:cs="Calibri"/>
          <w:color w:val="000000"/>
          <w:sz w:val="22"/>
          <w:szCs w:val="22"/>
        </w:rPr>
        <w:t xml:space="preserve">(Japanese red pine), </w:t>
      </w:r>
      <w:r>
        <w:rPr>
          <w:rFonts w:ascii="Calibri" w:hAnsi="Calibri" w:eastAsia="Calibri" w:cs="Calibri"/>
          <w:i/>
          <w:iCs/>
          <w:color w:val="000000"/>
          <w:sz w:val="22"/>
          <w:szCs w:val="22"/>
        </w:rPr>
        <w:t xml:space="preserve">P. echinata </w:t>
      </w:r>
      <w:r>
        <w:rPr>
          <w:rFonts w:ascii="Calibri" w:hAnsi="Calibri" w:eastAsia="Calibri" w:cs="Calibri"/>
          <w:color w:val="000000"/>
          <w:sz w:val="22"/>
          <w:szCs w:val="22"/>
        </w:rPr>
        <w:t xml:space="preserve">(shortleaf pine)</w:t>
      </w:r>
      <w:r>
        <w:rPr>
          <w:rFonts w:ascii="Calibri" w:hAnsi="Calibri" w:eastAsia="Calibri" w:cs="Calibri"/>
          <w:i/>
          <w:iCs/>
          <w:color w:val="000000"/>
          <w:sz w:val="22"/>
          <w:szCs w:val="22"/>
        </w:rPr>
        <w:t xml:space="preserve">, P. jeffreyi </w:t>
      </w:r>
      <w:r>
        <w:rPr>
          <w:rFonts w:ascii="Calibri" w:hAnsi="Calibri" w:eastAsia="Calibri" w:cs="Calibri"/>
          <w:color w:val="000000"/>
          <w:sz w:val="22"/>
          <w:szCs w:val="22"/>
        </w:rPr>
        <w:t xml:space="preserve">(Jeffrey pine), </w:t>
      </w:r>
      <w:r>
        <w:rPr>
          <w:rFonts w:ascii="Calibri" w:hAnsi="Calibri" w:eastAsia="Calibri" w:cs="Calibri"/>
          <w:i/>
          <w:iCs/>
          <w:color w:val="000000"/>
          <w:sz w:val="22"/>
          <w:szCs w:val="22"/>
        </w:rPr>
        <w:t xml:space="preserve">P. monticola </w:t>
      </w:r>
      <w:r>
        <w:rPr>
          <w:rFonts w:ascii="Calibri" w:hAnsi="Calibri" w:eastAsia="Calibri" w:cs="Calibri"/>
          <w:color w:val="000000"/>
          <w:sz w:val="22"/>
          <w:szCs w:val="22"/>
        </w:rPr>
        <w:t xml:space="preserve">(western white pine),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(black pine), </w:t>
      </w:r>
      <w:r>
        <w:rPr>
          <w:rFonts w:ascii="Calibri" w:hAnsi="Calibri" w:eastAsia="Calibri" w:cs="Calibri"/>
          <w:i/>
          <w:iCs/>
          <w:color w:val="000000"/>
          <w:sz w:val="22"/>
          <w:szCs w:val="22"/>
        </w:rPr>
        <w:t xml:space="preserve">P. ponderosa </w:t>
      </w:r>
      <w:r>
        <w:rPr>
          <w:rFonts w:ascii="Calibri" w:hAnsi="Calibri" w:eastAsia="Calibri" w:cs="Calibri"/>
          <w:color w:val="000000"/>
          <w:sz w:val="22"/>
          <w:szCs w:val="22"/>
        </w:rPr>
        <w:t xml:space="preserve">(ponderosa pine),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(lobolly pine), and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(Virginian pine) (Sandoval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albicaulis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was commonly found in North America, where it occurs from British Columbia and Saskatchewan to California and New Mexico, except central Rocky Mountain region and, occasionally in South Dakota and southeastern USA. The fungus mainly attacks branches and main stems, causing elongate cankers on stems of young trees (Sinclair and Lyon, 2005; Cerezke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No information was found in the literature and databases concerning the presence of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in other continents.</w:t>
      </w:r>
    </w:p>
    <w:p>
      <w:r>
        <w:drawing>
          <wp:inline distT="0" distB="0" distL="0" distR="0">
            <wp:extent cx="6120000" cy="3067200"/>
            <wp:docPr id="31177512" name="name2254665999a99b63e" descr="ATRPP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PPP_distribution_map.jpg"/>
                    <pic:cNvPicPr/>
                  </pic:nvPicPr>
                  <pic:blipFill>
                    <a:blip r:embed="rId2973665999a99b63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Northwest Territories, Saskatchewan), United States of America (Alabama, Arizona, California, Idaho, Montana, New Mexico, North Carolina, Oregon, South Dakota, Tennessee,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is similar to those of all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(Lightle, 1973). Trees can be infected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through ascospores. Ascospores can penetrate undamaged bark or needles of susceptible hosts and start to germinate. The fungus causes cankers and produces stromata containing conidia and apothecia in the central sunken canker zone. Conidia are released as a creamy, sticky mass (Sinclair and Lyon, 2005; Lockman 2005). Apothecia may appear up to 4 years of infection and continue to form on the canker. Ascospores are dispersed by wind, mainly in summer to early autumn. Ascospores can infect stem wounds and young branches (Sinclair and Lyon, 2005).  Infection can be asymptomatic for a long time, and apothecia with ascospores can form after a period of 2–5 years on branches and stems of infected trees (Sinclair and Lyon, 2005). Latent infection can even last for a period of up to 25 years (Hiratsuka, 1987; Lockman, 2005). Apothecia and ascospores production continue each year until a few years after death of the host on logs in heavy shaded places (Hopkins, 1969; Lockman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Anon. (1963), Hopkins (1963), Sinclair and Lyon (2005), EFSA (2014,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remain asymptomatic for a long time and the first visual signs of infection can appear in 2–5 years on small branches and stems of young, slightly and severely weakened trees, or 20 or more years in large, vigorous trees (Sinclair and Lyon, 2005). Incipient cankers show no external sign of the underlying infection. Dark-brown, necrotic spots, 5–10 mm in diameter, occur within the bark, possibly enclosed by a single layer of wound tissue. The first visual typical symptoms and signs of all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canker are a resin droplet on the bark surface, and subsequently huge amounts of fresh resin at the margin of cankers (Lockman, 2005). Cankers generally expand each year, modifying the damaged wood which becomes resin‐soaked and blue-stained. The fungus penetrates sapwood rapidly but goes into heartwood more slowly. At canker tips a reddish‐brown stain often develops in the sapwood between the bark and the nearest invaded (blue‐black) sapwood. Bark is often cracked at the margins of cankers. Ascospores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formed in ascomata that are produced in stromata on the surface of the bark over the cankers, in the central sunken canker zone (Hopkins and Callan, 1991).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the larger the diseased stem is, the longer the fruiting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takes and it may be delayed from 4–5 years on small stems to 25 years or more on large ones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caused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elongated and flattened, but deep and covered with bark which is cracked; they occur on stem and young branches. Multiple stem cankers may be found quite often. Fast growing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cankers on ponderosa pine can exceed 3 m in length and the elongation rate of cankers has been estimated at about 5 cm per year (Hopkins and Callan, 1991).</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Boyce (1961), Anon. (1963), Hopkins (1963), Hopkins and Callan (1991), Sinclair and Lyon (2005), EFSA (2014,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characteristic blue-black staining of the wood beneath cankers. A red or brown discoloration is usually present in the xylem at the edge of the blue-black zone. </w:t>
      </w:r>
    </w:p>
    <w:p>
      <w:pPr>
        <w:widowControl w:val="on"/>
        <w:pBdr/>
        <w:spacing w:before="220" w:after="220" w:line="240" w:lineRule="auto"/>
        <w:ind w:left="0" w:right="0"/>
        <w:jc w:val="both"/>
      </w:pPr>
      <w:r>
        <w:rPr>
          <w:rFonts w:ascii="Calibri" w:hAnsi="Calibri" w:eastAsia="Calibri" w:cs="Calibri"/>
          <w:color w:val="000000"/>
          <w:sz w:val="22"/>
          <w:szCs w:val="22"/>
        </w:rPr>
        <w:t xml:space="preserve">Apothecia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small, 2–4 mm in diameter, cuplike, erumpent, black on the outside, with a brown interior, irregularly disc-shaped with a short central stalk, arising initially on cankers 2 and more year old and developing annually thereafter on bark stem (Sinclair and Lyon, 2005). Ascospores hyaline, fusiform, one or two cells, 16–28 x 4.7 µm. The spores are rod shaped, very thin-walled, hyaline, aseptate, cylindrical, rounded at the ends and possess a mucilaginous coat; 4–6 x 1.0–1.5 µm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Reid and Funk (1966),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Most stem cankers start as infections on undamaged bark in the vicinity of branch whorls (Hopkins &amp; Callan, 1991). The presence of the elongated canker is the main symptom for disease identification. Massive resin flow can be seen emerging from stem cankers, as well as dark blue or black staining in sapwood under a canker, small black cup-shaped apothecia on canker margins, the vertical seams on stem because stems seem ridged, dead flagged branches occur throughout an infected tree (Dunham 2008). Infections are most numerous on the northern sides of stems; very few cankers develop on the southern sides of stems (Hopkins &amp; Callan, 1991).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may be identified using a colorimetric test: a fragment of apothecia turns 5% aqueous KOH a bluish green colour (</w:t>
      </w:r>
      <w:r>
        <w:rPr>
          <w:rFonts w:ascii="Calibri" w:hAnsi="Calibri" w:eastAsia="Calibri" w:cs="Calibri"/>
          <w:i/>
          <w:iCs/>
          <w:color w:val="000000"/>
          <w:sz w:val="22"/>
          <w:szCs w:val="22"/>
        </w:rPr>
        <w:t xml:space="preserve">Atropellis pinicola, A.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tingens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will turn the solution chocolate brown (Lochman and Cash, 1940).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species can be differentiated from one another by the shape, size and number of cells of their hyaline ascospores. Ascospores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fusiform, one or two cells, 16–28 x 4.7 µm (see section on morphology above). There is one nucleotide sequence for an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strain (isolate CBS 197.64, registration date 20 September 2019, </w:t>
      </w:r>
      <w:hyperlink r:id="rId6750665999a99bc0a" w:history="1">
        <w:r>
          <w:rPr>
            <w:rFonts w:ascii="Calibri" w:hAnsi="Calibri" w:eastAsia="Calibri" w:cs="Calibri"/>
            <w:color w:val="0000CC"/>
            <w:sz w:val="22"/>
            <w:szCs w:val="22"/>
            <w:u w:val="single"/>
          </w:rPr>
          <w:t xml:space="preserve">DOE Joint Genome Institute</w:t>
        </w:r>
      </w:hyperlink>
      <w:r>
        <w:rPr>
          <w:rFonts w:ascii="Calibri" w:hAnsi="Calibri" w:eastAsia="Calibri" w:cs="Calibri"/>
          <w:color w:val="000000"/>
          <w:sz w:val="22"/>
          <w:szCs w:val="22"/>
        </w:rPr>
        <w:t xml:space="preserve">) in </w:t>
      </w:r>
      <w:hyperlink r:id="rId2617665999a99bc2d" w:history="1">
        <w:r>
          <w:rPr>
            <w:rFonts w:ascii="Calibri" w:hAnsi="Calibri" w:eastAsia="Calibri" w:cs="Calibri"/>
            <w:color w:val="0000CC"/>
            <w:sz w:val="22"/>
            <w:szCs w:val="22"/>
            <w:u w:val="single"/>
          </w:rPr>
          <w:t xml:space="preserve">GenBank</w:t>
        </w:r>
      </w:hyperlink>
      <w:r>
        <w:rPr>
          <w:rFonts w:ascii="Calibri" w:hAnsi="Calibri" w:eastAsia="Calibri" w:cs="Calibri"/>
          <w:color w:val="000000"/>
          <w:sz w:val="22"/>
          <w:szCs w:val="22"/>
        </w:rPr>
        <w:t xml:space="preserve"> ; accessed 13 June 2022). Currently, differentiation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 morphological and culture characteristics listed above.</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timber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from countries where the disease occurs should have had the bark removed before inspection. However, it is possible that removal of bark may be ineffective as a safeguard if it does not eliminate superficial or deep cankers which may contain mycelium and/or apothecia, and so any material with canker lesions should be carefully inspected. Particular attention should be paid to the younger branches and twigs of growing material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consignments from countries where the disease occurs (Webster and Weber,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spreads with plants, wood, and isolated bark (EFSA,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spread by ascospore dispersal within pine stands. Ascospores are formed in ascomata that are produced in stromata on the surface of the bark over the cankers, in the central canker zone (Hopkins and Callan, 1992). Under wet conditions, ascospores are forcibly ejected into the air and are disseminated, primarily by wind, over up to 100 m from the inoculum source (Allen, 1994; Lockman, 2005). Therefore, debarked wood, even though it is affected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cannot transfer the pest by ascospores. In international trade, logs with the bark attached may contain ascospores or traces of mycelium, as may cankers on younger branches and twigs of growing material. Under artificial conditions when infected wood (without bark) was placed in contact with another piece of wood, mycelium could colonize a new piece of wood (Hopkins, 1963). However, there is no evidence that this could happen during transport (EFSA, 2014; Cobb and Metz, 2017). The canker caused by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is not known to be transmitted by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fruit or seeds. It may also spread over long distances by movement of infected host plants for planting, cut branches, wood or isolated bark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are two species of economic importance, however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is the most important pathogen among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The fungus causes a serious resinous canker of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particularly in trees 5–25 years old in overcrowded, pure stands. Trunk cankers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reduce the value of trees for timber and paper pulp. On </w:t>
      </w:r>
      <w:r>
        <w:rPr>
          <w:rFonts w:ascii="Calibri" w:hAnsi="Calibri" w:eastAsia="Calibri" w:cs="Calibri"/>
          <w:i/>
          <w:iCs/>
          <w:color w:val="000000"/>
          <w:sz w:val="22"/>
          <w:szCs w:val="22"/>
        </w:rPr>
        <w:t xml:space="preserve">P.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causes long cankers while on other pines, only a minor twig blight occurs. In addition to deformation, infected bark adheres to the underlying wood, so preventing effective debarking. Damage caused by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is most common in young dense forests of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where the fungus can kill and deform numerous trees (Sinclair and Lyon, 2005).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Cultural methods such as thinning of overcrowded stands, use of a mix of species or an alternative, non-susceptible species for reforestation purposes, removal and burning of infected trees with cankers or high level of infection (Thomas and Pickel, 2010). Buffer zone (at least 100 m) between previously infected trees and regeneration may help to prevent infection, but no chemical or biological control methods have been developed (Thomas and Pickel, 2010; EFSA, 2014).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is a North American fungal pine pathogen which has not yet been reported in the EPPO region. Its risk of entry (for the EU) was assessed by the EFSA Panel (EFSA, 2017) as close to zero under the current regulatory situation. Nevertheless, while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may be introduced in the EU, the same or higher impacts as those observed in North America are to be expected, mainly due to the lack of knowledge on the susceptibility of some native and exotic pines such as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which are important in the EPPO region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member countries are recommended to regulate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as quarantine pest of Coniferae (EPPO A1 List) (EPPO, 2021). Importing countries may prohibit plants, wood with bark, and isolated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from North America. For EU countries, wood or isolated bark originating in Canada and the USA, Annex II of Regulation (EU) 2016/2031 prescribes that an official statement shall certify that consignment has undergone heat treatment, or chemical pressure impregnation, or fumigation. If wood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is imported from North America, the consignment must have been debarked or processed (EPPO, 2018). The introduction into the EU (and circulation within) of plants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which are host plants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originating from non-European countries, is forbidden.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E (2014) Review of heat treatment of wood and wood packaging. NAPPO (North American Plant Protection Organization), Raleigh, North Carolina, USA. 35 pp.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pine. In: </w:t>
      </w:r>
      <w:r>
        <w:rPr>
          <w:rFonts w:ascii="Calibri" w:hAnsi="Calibri" w:eastAsia="Calibri" w:cs="Calibri"/>
          <w:i/>
          <w:iCs/>
          <w:color w:val="000000"/>
          <w:sz w:val="22"/>
          <w:szCs w:val="22"/>
        </w:rPr>
        <w:t xml:space="preserve">Internationally dangerous forest tree diseases. Miscellaneous Publication of the Forest Service,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939</w:t>
      </w:r>
      <w:r>
        <w:rPr>
          <w:rFonts w:ascii="Calibri" w:hAnsi="Calibri" w:eastAsia="Calibri" w:cs="Calibri"/>
          <w:color w:val="000000"/>
          <w:sz w:val="22"/>
          <w:szCs w:val="22"/>
        </w:rPr>
        <w:t xml:space="preserve">, pp. 84–85.</w:t>
      </w:r>
    </w:p>
    <w:p>
      <w:pPr>
        <w:widowControl w:val="on"/>
        <w:pBdr/>
        <w:spacing w:before="220" w:after="220" w:line="240" w:lineRule="auto"/>
        <w:ind w:left="0" w:right="0"/>
        <w:jc w:val="left"/>
      </w:pPr>
      <w:r>
        <w:rPr>
          <w:rFonts w:ascii="Calibri" w:hAnsi="Calibri" w:eastAsia="Calibri" w:cs="Calibri"/>
          <w:color w:val="000000"/>
          <w:sz w:val="22"/>
          <w:szCs w:val="22"/>
        </w:rPr>
        <w:t xml:space="preserve">Boyce JC (1961)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(3rd edition). McGraw Hill Book Co. Inc., New York, USA. pp. 244–255.</w:t>
      </w:r>
    </w:p>
    <w:p>
      <w:pPr>
        <w:widowControl w:val="on"/>
        <w:pBdr/>
        <w:spacing w:before="220" w:after="220" w:line="240" w:lineRule="auto"/>
        <w:ind w:left="0" w:right="0"/>
        <w:jc w:val="left"/>
      </w:pPr>
      <w:r>
        <w:rPr>
          <w:rFonts w:ascii="Calibri" w:hAnsi="Calibri" w:eastAsia="Calibri" w:cs="Calibri"/>
          <w:color w:val="000000"/>
          <w:sz w:val="22"/>
          <w:szCs w:val="22"/>
        </w:rPr>
        <w:t xml:space="preserve">Cerezke HF, Dhir NK &amp; Barnhardt LK (2014) Review of Insect and Disease Challenges to Alberta Coniferous Forests. Alberta Government, Edmonton, Canada, 126 pp. </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543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544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Cobb RC &amp; Metz MR (2017) Tree diseases as a cause and consequence of interacting forest disturbances.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147. </w:t>
      </w:r>
    </w:p>
    <w:p>
      <w:pPr>
        <w:widowControl w:val="on"/>
        <w:pBdr/>
        <w:spacing w:before="220" w:after="220" w:line="240" w:lineRule="auto"/>
        <w:ind w:left="0" w:right="0"/>
        <w:jc w:val="left"/>
      </w:pPr>
      <w:r>
        <w:rPr>
          <w:rFonts w:ascii="Calibri" w:hAnsi="Calibri" w:eastAsia="Calibri" w:cs="Calibri"/>
          <w:color w:val="000000"/>
          <w:sz w:val="22"/>
          <w:szCs w:val="22"/>
        </w:rPr>
        <w:t xml:space="preserve">Dunham PA (2008) Incidence of insects, diseases, and other damaging agents in Oregon forests. USDA, Forest Service, Pacific Northwest Research Station, Portland, Oregon, USA. 100 pp. </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Food Safety Authority (EFSA) Baker R, Gilioli G, Behring 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61 pp. </w:t>
      </w:r>
      <w:hyperlink r:id="rId4767665999a99c3f6" w:history="1">
        <w:r>
          <w:rPr>
            <w:rFonts w:ascii="Calibri" w:hAnsi="Calibri" w:eastAsia="Calibri" w:cs="Calibri"/>
            <w:color w:val="0000CC"/>
            <w:sz w:val="22"/>
            <w:szCs w:val="22"/>
            <w:u w:val="single"/>
          </w:rPr>
          <w:t xml:space="preserve">https://doi.org/10.2903/j.efsa.2019.5731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(2017) Jeger M, Caffier D, Candresse 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risk assessment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46 pp. </w:t>
      </w:r>
      <w:hyperlink r:id="rId8124665999a99c4af" w:history="1">
        <w:r>
          <w:rPr>
            <w:rFonts w:ascii="Calibri" w:hAnsi="Calibri" w:eastAsia="Calibri" w:cs="Calibri"/>
            <w:color w:val="0000CC"/>
            <w:sz w:val="22"/>
            <w:szCs w:val="22"/>
            <w:u w:val="single"/>
          </w:rPr>
          <w:t xml:space="preserve">https://doi.org/10.2903/j.efsa.2017.4877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 33 pp. </w:t>
      </w:r>
      <w:hyperlink r:id="rId6115665999a99c548" w:history="1">
        <w:r>
          <w:rPr>
            <w:rFonts w:ascii="Calibri" w:hAnsi="Calibri" w:eastAsia="Calibri" w:cs="Calibri"/>
            <w:color w:val="0000CC"/>
            <w:sz w:val="22"/>
            <w:szCs w:val="22"/>
            <w:u w:val="single"/>
          </w:rPr>
          <w:t xml:space="preserve">https://doi.org/10.2903/j.efsa.2014.3926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1/002(30). EPPO A1 and A2 lists of pests recommended for regulation as quarantine pests. </w:t>
      </w:r>
      <w:hyperlink r:id="rId2733665999a99c5d7"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[last accessed 01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Global Database page on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w:t>
      </w:r>
      <w:hyperlink r:id="rId6285665999a99c653" w:history="1">
        <w:r>
          <w:rPr>
            <w:rFonts w:ascii="Calibri" w:hAnsi="Calibri" w:eastAsia="Calibri" w:cs="Calibri"/>
            <w:color w:val="0000CC"/>
            <w:sz w:val="22"/>
            <w:szCs w:val="22"/>
            <w:u w:val="single"/>
          </w:rPr>
          <w:t xml:space="preserve">https://gd.eppo.int/taxon/ATRPPP</w:t>
        </w:r>
      </w:hyperlink>
      <w:r>
        <w:rPr>
          <w:rFonts w:ascii="Calibri" w:hAnsi="Calibri" w:eastAsia="Calibri" w:cs="Calibri"/>
          <w:color w:val="000000"/>
          <w:sz w:val="22"/>
          <w:szCs w:val="22"/>
        </w:rPr>
        <w:t xml:space="preserve"> [last accessed 13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Cronartium coleosporioides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(1987) Forest tree diseases of the prairie provinces. Canadian Forest Service Inf. Rep., 3, No. NOR-X-286. 297 pp. </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lodgepole pine. Etiology, symptoms and canker growth rate.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1535–1545.</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&amp; Callan BE (1992)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w:t>
      </w:r>
      <w:r>
        <w:rPr>
          <w:rFonts w:ascii="Calibri" w:hAnsi="Calibri" w:eastAsia="Calibri" w:cs="Calibri"/>
          <w:i/>
          <w:iCs/>
          <w:color w:val="000000"/>
          <w:sz w:val="22"/>
          <w:szCs w:val="22"/>
        </w:rPr>
        <w:t xml:space="preserve">Canadian Forest Service, Pacific Forestry Centre, Victoria, B.C. Forest Pest Leaflet</w:t>
      </w:r>
      <w:r>
        <w:rPr>
          <w:rFonts w:ascii="Calibri" w:hAnsi="Calibri" w:eastAsia="Calibri" w:cs="Calibri"/>
          <w:color w:val="000000"/>
          <w:sz w:val="22"/>
          <w:szCs w:val="22"/>
        </w:rPr>
        <w:t xml:space="preserve">, Vol.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Lightle PC (1973)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canker of pines. </w:t>
      </w:r>
      <w:r>
        <w:rPr>
          <w:rFonts w:ascii="Calibri" w:hAnsi="Calibri" w:eastAsia="Calibri" w:cs="Calibri"/>
          <w:i/>
          <w:iCs/>
          <w:color w:val="000000"/>
          <w:sz w:val="22"/>
          <w:szCs w:val="22"/>
        </w:rPr>
        <w:t xml:space="preserve">US Department of Agriculture, Forest Service</w:t>
      </w:r>
      <w:r>
        <w:rPr>
          <w:rFonts w:ascii="Calibri" w:hAnsi="Calibri" w:eastAsia="Calibri" w:cs="Calibri"/>
          <w:color w:val="000000"/>
          <w:sz w:val="22"/>
          <w:szCs w:val="22"/>
        </w:rPr>
        <w:t xml:space="preserve">., Vol. </w:t>
      </w:r>
      <w:r>
        <w:rPr>
          <w:rFonts w:ascii="Calibri" w:hAnsi="Calibri" w:eastAsia="Calibri" w:cs="Calibri"/>
          <w:b/>
          <w:bCs/>
          <w:color w:val="000000"/>
          <w:sz w:val="22"/>
          <w:szCs w:val="22"/>
        </w:rPr>
        <w:t xml:space="preserve">138</w:t>
      </w:r>
    </w:p>
    <w:p>
      <w:pPr>
        <w:widowControl w:val="on"/>
        <w:pBdr/>
        <w:spacing w:before="220" w:after="220" w:line="240" w:lineRule="auto"/>
        <w:ind w:left="0" w:right="0"/>
        <w:jc w:val="left"/>
      </w:pPr>
      <w:r>
        <w:rPr>
          <w:rFonts w:ascii="Calibri" w:hAnsi="Calibri" w:eastAsia="Calibri" w:cs="Calibri"/>
          <w:color w:val="000000"/>
          <w:sz w:val="22"/>
          <w:szCs w:val="22"/>
        </w:rPr>
        <w:t xml:space="preserve">Lockman B (2005) Management guide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USDA Forest Service,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Reid J,  Funk A (1966)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and a new genus of the Helotiales associated with branch cankers of western Hemlock.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417–439.</w:t>
      </w:r>
    </w:p>
    <w:p>
      <w:pPr>
        <w:widowControl w:val="on"/>
        <w:pBdr/>
        <w:spacing w:before="220" w:after="220" w:line="240" w:lineRule="auto"/>
        <w:ind w:left="0" w:right="0"/>
        <w:jc w:val="left"/>
      </w:pPr>
      <w:r>
        <w:rPr>
          <w:rFonts w:ascii="Calibri" w:hAnsi="Calibri" w:eastAsia="Calibri" w:cs="Calibri"/>
          <w:color w:val="000000"/>
          <w:sz w:val="22"/>
          <w:szCs w:val="22"/>
        </w:rPr>
        <w:t xml:space="preserve">Sandoval FM, Martin FW, Carpenter JB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w:t>
      </w:r>
      <w:r>
        <w:rPr>
          <w:rFonts w:ascii="Calibri" w:hAnsi="Calibri" w:eastAsia="Calibri" w:cs="Calibri"/>
          <w:i/>
          <w:iCs/>
          <w:color w:val="000000"/>
          <w:sz w:val="22"/>
          <w:szCs w:val="22"/>
        </w:rPr>
        <w:t xml:space="preserve">Diseases of Pacific coast conifers</w:t>
      </w:r>
      <w:r>
        <w:rPr>
          <w:rFonts w:ascii="Calibri" w:hAnsi="Calibri" w:eastAsia="Calibri" w:cs="Calibri"/>
          <w:color w:val="000000"/>
          <w:sz w:val="22"/>
          <w:szCs w:val="22"/>
        </w:rPr>
        <w:t xml:space="preserve">, 521–530. US Department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CE &amp; Pickel S (2010) Integrated Pest Management for Christmas tree production. </w:t>
      </w:r>
      <w:r>
        <w:rPr>
          <w:rFonts w:ascii="Calibri" w:hAnsi="Calibri" w:eastAsia="Calibri" w:cs="Calibri"/>
          <w:i/>
          <w:iCs/>
          <w:color w:val="000000"/>
          <w:sz w:val="22"/>
          <w:szCs w:val="22"/>
        </w:rPr>
        <w:t xml:space="preserve">A guide for Pennsylvania growers</w:t>
      </w:r>
      <w:r>
        <w:rPr>
          <w:rFonts w:ascii="Calibri" w:hAnsi="Calibri" w:eastAsia="Calibri" w:cs="Calibri"/>
          <w:color w:val="000000"/>
          <w:sz w:val="22"/>
          <w:szCs w:val="22"/>
        </w:rPr>
        <w:t xml:space="preserve">, 73–74.</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&amp; Weber R (2007) </w:t>
      </w:r>
      <w:r>
        <w:rPr>
          <w:rFonts w:ascii="Calibri" w:hAnsi="Calibri" w:eastAsia="Calibri" w:cs="Calibri"/>
          <w:i/>
          <w:iCs/>
          <w:color w:val="000000"/>
          <w:sz w:val="22"/>
          <w:szCs w:val="22"/>
        </w:rPr>
        <w:t xml:space="preserve">Introduction to Fungi.</w:t>
      </w:r>
      <w:r>
        <w:rPr>
          <w:rFonts w:ascii="Calibri" w:hAnsi="Calibri" w:eastAsia="Calibri" w:cs="Calibri"/>
          <w:color w:val="000000"/>
          <w:sz w:val="22"/>
          <w:szCs w:val="22"/>
        </w:rPr>
        <w:t xml:space="preserve"> Cambridge University Press (UK).</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hyperlink r:id="rId2346665999a99cb01" w:history="1">
        <w:r>
          <w:rPr>
            <w:rFonts w:ascii="Calibri" w:hAnsi="Calibri" w:eastAsia="Calibri" w:cs="Calibri"/>
            <w:color w:val="0000CC"/>
            <w:sz w:val="22"/>
            <w:szCs w:val="22"/>
            <w:u w:val="single"/>
          </w:rPr>
          <w:t xml:space="preserve">https://www.cabi.org/isc/datasheet/7816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Panel on Plant Health (PLH) Jeger M, Caffier D, Candresse T, Chatzivassiliou E, Dehnen‐Schmutz 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Pest risk assessment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w:t>
      </w:r>
      <w:hyperlink r:id="rId7552665999a99cbaf" w:history="1">
        <w:r>
          <w:rPr>
            <w:rFonts w:ascii="Calibri" w:hAnsi="Calibri" w:eastAsia="Calibri" w:cs="Calibri"/>
            <w:color w:val="0000CC"/>
            <w:sz w:val="22"/>
            <w:szCs w:val="22"/>
            <w:u w:val="single"/>
          </w:rPr>
          <w:t xml:space="preserve">https://efsa.onlinelibrary.wiley.com/doi/full/10.2903/j.efsa.2017.4877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EPPO datasheets on pests recommended for regulation. Available online. </w:t>
      </w:r>
      <w:hyperlink r:id="rId3053665999a99cce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23-28. </w:t>
      </w:r>
      <w:hyperlink r:id="rId6293665999a99ce6a" w:history="1">
        <w:r>
          <w:rPr>
            <w:rFonts w:ascii="Calibri" w:hAnsi="Calibri" w:eastAsia="Calibri" w:cs="Calibri"/>
            <w:color w:val="0000CC"/>
            <w:sz w:val="22"/>
            <w:szCs w:val="22"/>
            <w:u w:val="single"/>
          </w:rPr>
          <w:t xml:space="preserve">https://doi.org/10.1111/j.1365-2338.1979.tb02447.x</w:t>
        </w:r>
      </w:hyperlink>
    </w:p>
    <w:p>
      <w:r>
        <w:drawing>
          <wp:inline distT="0" distB="0" distL="0" distR="0">
            <wp:extent cx="1800000" cy="604800"/>
            <wp:docPr id="32896189" name="name9574665999a99d02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94665999a99d02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89984">
    <w:multiLevelType w:val="hybridMultilevel"/>
    <w:lvl w:ilvl="0" w:tplc="79744121">
      <w:start w:val="1"/>
      <w:numFmt w:val="decimal"/>
      <w:lvlText w:val="%1."/>
      <w:lvlJc w:val="left"/>
      <w:pPr>
        <w:ind w:left="720" w:hanging="360"/>
      </w:pPr>
    </w:lvl>
    <w:lvl w:ilvl="1" w:tplc="79744121" w:tentative="1">
      <w:start w:val="1"/>
      <w:numFmt w:val="lowerLetter"/>
      <w:lvlText w:val="%2."/>
      <w:lvlJc w:val="left"/>
      <w:pPr>
        <w:ind w:left="1440" w:hanging="360"/>
      </w:pPr>
    </w:lvl>
    <w:lvl w:ilvl="2" w:tplc="79744121" w:tentative="1">
      <w:start w:val="1"/>
      <w:numFmt w:val="lowerRoman"/>
      <w:lvlText w:val="%3."/>
      <w:lvlJc w:val="right"/>
      <w:pPr>
        <w:ind w:left="2160" w:hanging="180"/>
      </w:pPr>
    </w:lvl>
    <w:lvl w:ilvl="3" w:tplc="79744121" w:tentative="1">
      <w:start w:val="1"/>
      <w:numFmt w:val="decimal"/>
      <w:lvlText w:val="%4."/>
      <w:lvlJc w:val="left"/>
      <w:pPr>
        <w:ind w:left="2880" w:hanging="360"/>
      </w:pPr>
    </w:lvl>
    <w:lvl w:ilvl="4" w:tplc="79744121" w:tentative="1">
      <w:start w:val="1"/>
      <w:numFmt w:val="lowerLetter"/>
      <w:lvlText w:val="%5."/>
      <w:lvlJc w:val="left"/>
      <w:pPr>
        <w:ind w:left="3600" w:hanging="360"/>
      </w:pPr>
    </w:lvl>
    <w:lvl w:ilvl="5" w:tplc="79744121" w:tentative="1">
      <w:start w:val="1"/>
      <w:numFmt w:val="lowerRoman"/>
      <w:lvlText w:val="%6."/>
      <w:lvlJc w:val="right"/>
      <w:pPr>
        <w:ind w:left="4320" w:hanging="180"/>
      </w:pPr>
    </w:lvl>
    <w:lvl w:ilvl="6" w:tplc="79744121" w:tentative="1">
      <w:start w:val="1"/>
      <w:numFmt w:val="decimal"/>
      <w:lvlText w:val="%7."/>
      <w:lvlJc w:val="left"/>
      <w:pPr>
        <w:ind w:left="5040" w:hanging="360"/>
      </w:pPr>
    </w:lvl>
    <w:lvl w:ilvl="7" w:tplc="79744121" w:tentative="1">
      <w:start w:val="1"/>
      <w:numFmt w:val="lowerLetter"/>
      <w:lvlText w:val="%8."/>
      <w:lvlJc w:val="left"/>
      <w:pPr>
        <w:ind w:left="5760" w:hanging="360"/>
      </w:pPr>
    </w:lvl>
    <w:lvl w:ilvl="8" w:tplc="79744121" w:tentative="1">
      <w:start w:val="1"/>
      <w:numFmt w:val="lowerRoman"/>
      <w:lvlText w:val="%9."/>
      <w:lvlJc w:val="right"/>
      <w:pPr>
        <w:ind w:left="6480" w:hanging="180"/>
      </w:pPr>
    </w:lvl>
  </w:abstractNum>
  <w:abstractNum w:abstractNumId="76089983">
    <w:multiLevelType w:val="hybridMultilevel"/>
    <w:lvl w:ilvl="0" w:tplc="770399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89983">
    <w:abstractNumId w:val="76089983"/>
  </w:num>
  <w:num w:numId="76089984">
    <w:abstractNumId w:val="760899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7513036" Type="http://schemas.microsoft.com/office/2011/relationships/commentsExtended" Target="commentsExtended.xml"/><Relationship Id="rId510023897" Type="http://schemas.microsoft.com/office/2011/relationships/people" Target="people.xml"/><Relationship Id="rId5916665999a999b51" Type="http://schemas.openxmlformats.org/officeDocument/2006/relationships/hyperlink" Target="https://gd.eppo.int/taxon/ATRPPP/" TargetMode="External"/><Relationship Id="rId7748665999a999b96" Type="http://schemas.openxmlformats.org/officeDocument/2006/relationships/hyperlink" Target="https://gd.eppo.int/taxon/ATRPPP/categorization" TargetMode="External"/><Relationship Id="rId4370665999a99a444" Type="http://schemas.openxmlformats.org/officeDocument/2006/relationships/hyperlink" Target="https://gd.eppo.int/taxon/ATRPPP/photos" TargetMode="External"/><Relationship Id="rId6750665999a99bc0a" Type="http://schemas.openxmlformats.org/officeDocument/2006/relationships/hyperlink" Target="http://jgi.doe.gov/" TargetMode="External"/><Relationship Id="rId2617665999a99bc2d" Type="http://schemas.openxmlformats.org/officeDocument/2006/relationships/hyperlink" Target="http://gd.eppo.int/(https%3A//www.ncbi.nlm.nih.gov/Taxonomy/Browser/wwwtax.cgi?mode=Info&amp;id=2614604" TargetMode="External"/><Relationship Id="rId4767665999a99c3f6" Type="http://schemas.openxmlformats.org/officeDocument/2006/relationships/hyperlink" Target="https://doi.org/10.2903/j.efsa.2019.5731" TargetMode="External"/><Relationship Id="rId8124665999a99c4af" Type="http://schemas.openxmlformats.org/officeDocument/2006/relationships/hyperlink" Target="https://doi.org/10.2903/j.efsa.2017.4877" TargetMode="External"/><Relationship Id="rId6115665999a99c548" Type="http://schemas.openxmlformats.org/officeDocument/2006/relationships/hyperlink" Target="https://doi.org/10.2903/j.efsa.2014.3926" TargetMode="External"/><Relationship Id="rId2733665999a99c5d7" Type="http://schemas.openxmlformats.org/officeDocument/2006/relationships/hyperlink" Target="https://gd.eppo.int/standards/PM1/" TargetMode="External"/><Relationship Id="rId6285665999a99c653" Type="http://schemas.openxmlformats.org/officeDocument/2006/relationships/hyperlink" Target="https://gd.eppo.int/taxon/ATRPPP" TargetMode="External"/><Relationship Id="rId2346665999a99cb01" Type="http://schemas.openxmlformats.org/officeDocument/2006/relationships/hyperlink" Target="https://www.cabi.org/isc/datasheet/7816" TargetMode="External"/><Relationship Id="rId7552665999a99cbaf" Type="http://schemas.openxmlformats.org/officeDocument/2006/relationships/hyperlink" Target="https://efsa.onlinelibrary.wiley.com/doi/full/10.2903/j.efsa.2017.4877" TargetMode="External"/><Relationship Id="rId3053665999a99cce0" Type="http://schemas.openxmlformats.org/officeDocument/2006/relationships/hyperlink" Target="https://gd.eppo.int" TargetMode="External"/><Relationship Id="rId6293665999a99ce6a" Type="http://schemas.openxmlformats.org/officeDocument/2006/relationships/hyperlink" Target="https://doi.org/10.1111/j.1365-2338.1979.tb02447.x" TargetMode="External"/><Relationship Id="rId2682665999a99a32e" Type="http://schemas.openxmlformats.org/officeDocument/2006/relationships/image" Target="media/imgrId2682665999a99a32e.jpg"/><Relationship Id="rId2973665999a99b63c" Type="http://schemas.openxmlformats.org/officeDocument/2006/relationships/image" Target="media/imgrId2973665999a99b63c.jpg"/><Relationship Id="rId9694665999a99d024" Type="http://schemas.openxmlformats.org/officeDocument/2006/relationships/image" Target="media/imgrId9694665999a99d02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