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Anoplophora chinensis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2020-10-28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Anoplophora chinensis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(Forster)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Anoplophora malasiaca</w:t>
            </w:r>
            <w:r>
              <w:rPr>
                <w:rFonts w:ascii="Calibri" w:hAnsi="Calibri" w:eastAsia="Calibri" w:cs="Calibri"/>
                <w:color w:val="000000"/>
                <w:position w:val="-3"/>
                <w:sz w:val="22"/>
                <w:szCs w:val="22"/>
              </w:rPr>
              <w:t xml:space="preserve"> (Thomson), </w:t>
            </w:r>
            <w:r>
              <w:rPr>
                <w:rFonts w:ascii="Calibri" w:hAnsi="Calibri" w:eastAsia="Calibri" w:cs="Calibri"/>
                <w:i/>
                <w:iCs/>
                <w:color w:val="000000"/>
                <w:position w:val="-3"/>
                <w:sz w:val="22"/>
                <w:szCs w:val="22"/>
              </w:rPr>
              <w:t xml:space="preserve">Cerambyx chinensis</w:t>
            </w:r>
            <w:r>
              <w:rPr>
                <w:rFonts w:ascii="Calibri" w:hAnsi="Calibri" w:eastAsia="Calibri" w:cs="Calibri"/>
                <w:color w:val="000000"/>
                <w:position w:val="-3"/>
                <w:sz w:val="22"/>
                <w:szCs w:val="22"/>
              </w:rPr>
              <w:t xml:space="preserve"> Forster, </w:t>
            </w:r>
            <w:r>
              <w:rPr>
                <w:rFonts w:ascii="Calibri" w:hAnsi="Calibri" w:eastAsia="Calibri" w:cs="Calibri"/>
                <w:i/>
                <w:iCs/>
                <w:color w:val="000000"/>
                <w:position w:val="-3"/>
                <w:sz w:val="22"/>
                <w:szCs w:val="22"/>
              </w:rPr>
              <w:t xml:space="preserve">Cerambyx farinosus</w:t>
            </w:r>
            <w:r>
              <w:rPr>
                <w:rFonts w:ascii="Calibri" w:hAnsi="Calibri" w:eastAsia="Calibri" w:cs="Calibri"/>
                <w:color w:val="000000"/>
                <w:position w:val="-3"/>
                <w:sz w:val="22"/>
                <w:szCs w:val="22"/>
              </w:rPr>
              <w:t xml:space="preserve"> Houttuyn, </w:t>
            </w:r>
            <w:r>
              <w:rPr>
                <w:rFonts w:ascii="Calibri" w:hAnsi="Calibri" w:eastAsia="Calibri" w:cs="Calibri"/>
                <w:i/>
                <w:iCs/>
                <w:color w:val="000000"/>
                <w:position w:val="-3"/>
                <w:sz w:val="22"/>
                <w:szCs w:val="22"/>
              </w:rPr>
              <w:t xml:space="preserve">Lamia punctator</w:t>
            </w:r>
            <w:r>
              <w:rPr>
                <w:rFonts w:ascii="Calibri" w:hAnsi="Calibri" w:eastAsia="Calibri" w:cs="Calibri"/>
                <w:color w:val="000000"/>
                <w:position w:val="-3"/>
                <w:sz w:val="22"/>
                <w:szCs w:val="22"/>
              </w:rPr>
              <w:t xml:space="preserve"> Fabricius, </w:t>
            </w:r>
            <w:r>
              <w:rPr>
                <w:rFonts w:ascii="Calibri" w:hAnsi="Calibri" w:eastAsia="Calibri" w:cs="Calibri"/>
                <w:i/>
                <w:iCs/>
                <w:color w:val="000000"/>
                <w:position w:val="-3"/>
                <w:sz w:val="22"/>
                <w:szCs w:val="22"/>
              </w:rPr>
              <w:t xml:space="preserve">Melanauster chinensis</w:t>
            </w:r>
            <w:r>
              <w:rPr>
                <w:rFonts w:ascii="Calibri" w:hAnsi="Calibri" w:eastAsia="Calibri" w:cs="Calibri"/>
                <w:color w:val="000000"/>
                <w:position w:val="-3"/>
                <w:sz w:val="22"/>
                <w:szCs w:val="22"/>
              </w:rPr>
              <w:t xml:space="preserve"> Thomson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black and white longhorn, citrus long-horned beetle, citrus longhorn, citrus root cerambycid, white-spotted longicorn beetle</w:t>
            </w:r>
            <w:hyperlink r:id="rId1571665a9923d0a3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(formerly), A2 Quarantine pest (Annex II B)</w:t>
            </w:r>
            <w:hyperlink r:id="rId9306665a9923d0aa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ANOLCN</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3228259" name="name7037665a9923d1323" descr="11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74.jpg"/>
                          <pic:cNvPicPr/>
                        </pic:nvPicPr>
                        <pic:blipFill>
                          <a:blip r:embed="rId3104665a9923d1320" cstate="print"/>
                          <a:stretch>
                            <a:fillRect/>
                          </a:stretch>
                        </pic:blipFill>
                        <pic:spPr>
                          <a:xfrm>
                            <a:off x="0" y="0"/>
                            <a:ext cx="2160000" cy="1281600"/>
                          </a:xfrm>
                          <a:prstGeom prst="rect">
                            <a:avLst/>
                          </a:prstGeom>
                          <a:ln w="0">
                            <a:noFill/>
                          </a:ln>
                        </pic:spPr>
                      </pic:pic>
                    </a:graphicData>
                  </a:graphic>
                </wp:inline>
              </w:drawing>
            </w:r>
            <w:hyperlink r:id="rId3027665a9923d148e"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is currently a single taxonomic entity. In the past some authors referred to </w:t>
      </w:r>
      <w:r>
        <w:rPr>
          <w:rFonts w:ascii="Calibri" w:hAnsi="Calibri" w:eastAsia="Calibri" w:cs="Calibri"/>
          <w:i/>
          <w:iCs/>
          <w:color w:val="000000"/>
          <w:sz w:val="22"/>
          <w:szCs w:val="22"/>
        </w:rPr>
        <w:t xml:space="preserve">Anoplophora malasiaca</w:t>
      </w:r>
      <w:r>
        <w:rPr>
          <w:rFonts w:ascii="Calibri" w:hAnsi="Calibri" w:eastAsia="Calibri" w:cs="Calibri"/>
          <w:color w:val="000000"/>
          <w:sz w:val="22"/>
          <w:szCs w:val="22"/>
        </w:rPr>
        <w:t xml:space="preserve"> (Thomson), but in line with the revised taxonomy of the genus </w:t>
      </w:r>
      <w:r>
        <w:rPr>
          <w:rFonts w:ascii="Calibri" w:hAnsi="Calibri" w:eastAsia="Calibri" w:cs="Calibri"/>
          <w:i/>
          <w:iCs/>
          <w:color w:val="000000"/>
          <w:sz w:val="22"/>
          <w:szCs w:val="22"/>
        </w:rPr>
        <w:t xml:space="preserve">Anoplophora</w:t>
      </w:r>
      <w:r>
        <w:rPr>
          <w:rFonts w:ascii="Calibri" w:hAnsi="Calibri" w:eastAsia="Calibri" w:cs="Calibri"/>
          <w:color w:val="000000"/>
          <w:sz w:val="22"/>
          <w:szCs w:val="22"/>
        </w:rPr>
        <w:t xml:space="preserve"> which occurred in 2002, </w:t>
      </w:r>
      <w:r>
        <w:rPr>
          <w:rFonts w:ascii="Calibri" w:hAnsi="Calibri" w:eastAsia="Calibri" w:cs="Calibri"/>
          <w:i/>
          <w:iCs/>
          <w:color w:val="000000"/>
          <w:sz w:val="22"/>
          <w:szCs w:val="22"/>
        </w:rPr>
        <w:t xml:space="preserve">A. malasiaca</w:t>
      </w:r>
      <w:r>
        <w:rPr>
          <w:rFonts w:ascii="Calibri" w:hAnsi="Calibri" w:eastAsia="Calibri" w:cs="Calibri"/>
          <w:color w:val="000000"/>
          <w:sz w:val="22"/>
          <w:szCs w:val="22"/>
        </w:rPr>
        <w:t xml:space="preserve"> is synonymized with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(Lingafelter &amp; Hoebeke, 2002; Wang, 2017). However, despite the revision of the genus </w:t>
      </w:r>
      <w:r>
        <w:rPr>
          <w:rFonts w:ascii="Calibri" w:hAnsi="Calibri" w:eastAsia="Calibri" w:cs="Calibri"/>
          <w:i/>
          <w:iCs/>
          <w:color w:val="000000"/>
          <w:sz w:val="22"/>
          <w:szCs w:val="22"/>
        </w:rPr>
        <w:t xml:space="preserve">Anoplophora</w:t>
      </w:r>
      <w:r>
        <w:rPr>
          <w:rFonts w:ascii="Calibri" w:hAnsi="Calibri" w:eastAsia="Calibri" w:cs="Calibri"/>
          <w:color w:val="000000"/>
          <w:sz w:val="22"/>
          <w:szCs w:val="22"/>
        </w:rPr>
        <w:t xml:space="preserve">, the name </w:t>
      </w:r>
      <w:r>
        <w:rPr>
          <w:rFonts w:ascii="Calibri" w:hAnsi="Calibri" w:eastAsia="Calibri" w:cs="Calibri"/>
          <w:i/>
          <w:iCs/>
          <w:color w:val="000000"/>
          <w:sz w:val="22"/>
          <w:szCs w:val="22"/>
        </w:rPr>
        <w:t xml:space="preserve">A. malasiaca</w:t>
      </w:r>
      <w:r>
        <w:rPr>
          <w:rFonts w:ascii="Calibri" w:hAnsi="Calibri" w:eastAsia="Calibri" w:cs="Calibri"/>
          <w:color w:val="000000"/>
          <w:sz w:val="22"/>
          <w:szCs w:val="22"/>
        </w:rPr>
        <w:t xml:space="preserve"> is still used in Japan (Iwaizumi, 2016; Fujiwara-Tsujii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Yasuda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Anoplophora</w:t>
      </w:r>
      <w:r>
        <w:rPr>
          <w:rFonts w:ascii="Calibri" w:hAnsi="Calibri" w:eastAsia="Calibri" w:cs="Calibri"/>
          <w:i/>
          <w:iCs/>
          <w:color w:val="000000"/>
          <w:sz w:val="22"/>
          <w:szCs w:val="22"/>
        </w:rPr>
        <w:t xml:space="preserve"> chinensis</w:t>
      </w:r>
      <w:r>
        <w:rPr>
          <w:rFonts w:ascii="Calibri" w:hAnsi="Calibri" w:eastAsia="Calibri" w:cs="Calibri"/>
          <w:color w:val="000000"/>
          <w:sz w:val="22"/>
          <w:szCs w:val="22"/>
        </w:rPr>
        <w:t xml:space="preserve"> is polyphagous on woody hosts, having been recorded on many living plants belonging to more than 30 families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In Asia,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is a serious pest of citrus orchards (Mitomi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and has a wider host range which also includes conifers in the genera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Cryptomeria</w:t>
      </w:r>
      <w:r>
        <w:rPr>
          <w:rFonts w:ascii="Calibri" w:hAnsi="Calibri" w:eastAsia="Calibri" w:cs="Calibri"/>
          <w:color w:val="000000"/>
          <w:sz w:val="22"/>
          <w:szCs w:val="22"/>
        </w:rPr>
        <w:t xml:space="preserve"> (Wang &amp; Chen, 1984; Lingafelter &amp; Hoebeke, 2002).</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has been indicated as the most commonly infested genus, followed by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Corylus</w:t>
      </w:r>
      <w:r>
        <w:rPr>
          <w:rFonts w:ascii="Calibri" w:hAnsi="Calibri" w:eastAsia="Calibri" w:cs="Calibri"/>
          <w:color w:val="000000"/>
          <w:sz w:val="22"/>
          <w:szCs w:val="22"/>
        </w:rPr>
        <w:t xml:space="preserve">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Italy,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primarily attacks species of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Carpinus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Corylus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(almost exclusively </w:t>
      </w:r>
      <w:r>
        <w:rPr>
          <w:rFonts w:ascii="Calibri" w:hAnsi="Calibri" w:eastAsia="Calibri" w:cs="Calibri"/>
          <w:i/>
          <w:iCs/>
          <w:color w:val="000000"/>
          <w:sz w:val="22"/>
          <w:szCs w:val="22"/>
        </w:rPr>
        <w:t xml:space="preserve">Prunus laurocerasus</w:t>
      </w:r>
      <w:r>
        <w:rPr>
          <w:rFonts w:ascii="Calibri" w:hAnsi="Calibri" w:eastAsia="Calibri" w:cs="Calibri"/>
          <w:color w:val="000000"/>
          <w:sz w:val="22"/>
          <w:szCs w:val="22"/>
        </w:rPr>
        <w:t xml:space="preserve">) (Cavagna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p>
    <w:p>
      <w:pPr>
        <w:widowControl w:val="on"/>
        <w:pBdr/>
        <w:spacing w:before="220" w:after="220" w:line="240" w:lineRule="auto"/>
        <w:ind w:left="0" w:right="0"/>
        <w:jc w:val="both"/>
      </w:pPr>
      <w:r>
        <w:rPr>
          <w:rFonts w:ascii="Calibri" w:hAnsi="Calibri" w:eastAsia="Calibri" w:cs="Calibri"/>
          <w:color w:val="000000"/>
          <w:sz w:val="22"/>
          <w:szCs w:val="22"/>
        </w:rPr>
        <w:t xml:space="preserve">Damage has also been found on species of </w:t>
      </w:r>
      <w:r>
        <w:rPr>
          <w:rFonts w:ascii="Calibri" w:hAnsi="Calibri" w:eastAsia="Calibri" w:cs="Calibri"/>
          <w:i/>
          <w:iCs/>
          <w:color w:val="000000"/>
          <w:sz w:val="22"/>
          <w:szCs w:val="22"/>
        </w:rPr>
        <w:t xml:space="preserve">Aesculus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Alnus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Cotoneaster</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Fagus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Lagerstroemia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spp. (Maspero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EFSA, 2019; Regione Lombardia, 2020a).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decurrens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campestre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oblongum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palmatum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pictum subsp. mono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platanoides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pseudoplatanus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saccharinum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Aesculus hippocastanum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Albizia julibrissin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Albizia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Allocasuarina verticillata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firma var. multinervis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firma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hirsuta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maximowiczii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sieboldiana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Aralia 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Atalantia 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platyphylla var.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platyphylla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Broussonetia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Brucea javanica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Cajanus cajan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Cajanus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oleifera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 betulus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 laxiflora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illinoinensis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crenata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Castanopsis sieboldii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Castanopsis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Casuarina equisetifolia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Casuarina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Catalpa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junos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Cryptomeria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multiflora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umbellata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crenata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sylvatica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margarita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Grevillea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Hedera rhombea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Hedera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mutabilis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syriacus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Lagerstroemia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Lagerstroemia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Lindera praecox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Lindera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Litchi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Litchi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Maackia amurensis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Maackia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Machilus thunbergii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Mallotus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Mallotus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asiatica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Melia azedarach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bombycis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Ostrya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x hispanica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maximowiczii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sieboldii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laurocerasus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x yedoensis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 var. culta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ussuriensis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acutissima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petraea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robur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serrata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texana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multiflora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rugosa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microphyllus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palmatus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Sageretia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babylonica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gracilistyla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integra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koriyanagi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pierotii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Stranvaesia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Styrax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Toona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Toxicodendron vernicifluum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Triadica sebifera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davidiana var.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Vernicia fordii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Vernicia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 bungeanum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Zelkova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is native to Asia. This species occurs primarily in China, Japan and the Korean peninsula and it is also reported in Vietnam, Taiwan, the Philippines, Myanmar, Malaysia and Indonesia (Gressitt, 1951; Lingafelter &amp; Hoebeke, 2002).</w:t>
      </w:r>
    </w:p>
    <w:p>
      <w:pPr>
        <w:widowControl w:val="on"/>
        <w:pBdr/>
        <w:spacing w:before="220" w:after="220" w:line="240" w:lineRule="auto"/>
        <w:ind w:left="0" w:right="0"/>
        <w:jc w:val="both"/>
      </w:pPr>
      <w:r>
        <w:rPr>
          <w:rFonts w:ascii="Calibri" w:hAnsi="Calibri" w:eastAsia="Calibri" w:cs="Calibri"/>
          <w:color w:val="000000"/>
          <w:sz w:val="22"/>
          <w:szCs w:val="22"/>
        </w:rPr>
        <w:t xml:space="preserve">In 1999 and 2001,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was found in the USA and was considered eradicated in 2005. Before this, in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was only reported to occur in the USA in Hawaii (Sorauer, 1954; EPPO, 1999; Gyeltshen &amp; Hodges, 2005).</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this species was first reported in 1980 in the Netherlands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several outbreaks occurred from 2000 to the present day. In Italy,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was detected for the first time in 2000 in Lombardy Region, later it was reported in Lazio Region (2008) and in Tuscany Region (2014 and 2017). In some outbreaks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has been eradicated, in others containment measures are in place (Colombo &amp; Limonta, 2001; EPPO,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has been reported and subsequently eradicated in Netherlands (2003, eradicated in 2010), Germany (2008, eradicated in 2017), Denmark (2011, eradicated in 2015) and Switzerland (2014, eradicated in 2019) (EFSA, 2019; EPPO, 2020a).</w:t>
      </w:r>
    </w:p>
    <w:p>
      <w:pPr>
        <w:widowControl w:val="on"/>
        <w:pBdr/>
        <w:spacing w:before="220" w:after="220" w:line="240" w:lineRule="auto"/>
        <w:ind w:left="0" w:right="0"/>
        <w:jc w:val="both"/>
      </w:pPr>
      <w:r>
        <w:rPr>
          <w:rFonts w:ascii="Calibri" w:hAnsi="Calibri" w:eastAsia="Calibri" w:cs="Calibri"/>
          <w:color w:val="000000"/>
          <w:sz w:val="22"/>
          <w:szCs w:val="22"/>
        </w:rPr>
        <w:t xml:space="preserve">This beetle has also been reported in France (2003 and 2008), Croatia (2007) and Turkey (2015) where eradication measures are in place (EPPO, 2020a).    </w:t>
      </w:r>
    </w:p>
    <w:p>
      <w:r>
        <w:drawing>
          <wp:inline distT="0" distB="0" distL="0" distR="0">
            <wp:extent cx="6120000" cy="3067200"/>
            <wp:docPr id="92837948" name="name2016665a9923d3f8b" descr="ANOLCN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OLCN_distribution_map.jpg"/>
                    <pic:cNvPicPr/>
                  </pic:nvPicPr>
                  <pic:blipFill>
                    <a:blip r:embed="rId8200665a9923d3f8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Croatia, Italy (mainland), Türkiye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Aomen (Macau), Fujian, Gansu, Guangdong, Guangxi, Guizhou, Hainan, Hebei, Hubei, Hunan, Jiangsu, Jiangxi, Liaoning, Shaanxi, Sichuan, Xianggang (Hong Kong), Xizhang, Yunnan, Zhejiang), Indonesia (Sumatra), Japan (Hokkaido, Honshu, Kyushu, Ryukyu Archipelago, Shikoku), Korea Dem. People's Republic, Korea, Republic, Malaysia (West), Myanmar, Philippines, Taiwan, Vietnam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generally completes its life cycle in one year, however occasionally the lifecycle can take two years to complete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Adults can be observed from May to October with a peak emergence usually from May to July.  However, if the environmental conditions are optimal, adults can be observed until December. Newly emerged adults undertake maturation feeding for 10-15 days on leaves, twigs, petioles and bark before mate-finding and copulation occurs (Maspero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EPPO, 2013; Wang, 2017).</w:t>
      </w:r>
    </w:p>
    <w:p>
      <w:pPr>
        <w:widowControl w:val="on"/>
        <w:pBdr/>
        <w:spacing w:before="220" w:after="220" w:line="240" w:lineRule="auto"/>
        <w:ind w:left="0" w:right="0"/>
        <w:jc w:val="both"/>
      </w:pPr>
      <w:r>
        <w:rPr>
          <w:rFonts w:ascii="Calibri" w:hAnsi="Calibri" w:eastAsia="Calibri" w:cs="Calibri"/>
          <w:color w:val="000000"/>
          <w:sz w:val="22"/>
          <w:szCs w:val="22"/>
        </w:rPr>
        <w:t xml:space="preserve">After copulation the females lays eggs, one by one, under the bark of the lower trunk, on exposed roots and along root collar region. At the time of oviposition, they make ‘T-shaped’ incisions with their mandibles on the bark of the host plant, in order to be able to introduce the ovipositor and lay the eggs. Females lay an average of 70 eggs in their lifetimes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Wang, 2017).</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dig long feeding tunnels in both trunks and exposed roots, initially in the cambial region and later enter the woody tissues of the lowest portions of the trunk and roots, in the heartwood and sapwood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Most individuals of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overwinter as larvae at various stage of their development, depending on the egg laying period. The mature overwintering larvae pupate usually during spring (Maspero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symptoms may indicate that a host is infested with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The presence of larvae inside the wood is revealed by frass and woodpulp expelled from the trunk (visible near the collar) and emerging roots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Vukadin &amp; Hrašovec, 2010; Ciampitti &amp; Cavagna, 2013; EFSA, 2019).</w:t>
      </w:r>
    </w:p>
    <w:p>
      <w:pPr>
        <w:widowControl w:val="on"/>
        <w:pBdr/>
        <w:spacing w:before="220" w:after="220" w:line="240" w:lineRule="auto"/>
        <w:ind w:left="0" w:right="0"/>
        <w:jc w:val="both"/>
      </w:pPr>
      <w:r>
        <w:rPr>
          <w:rFonts w:ascii="Calibri" w:hAnsi="Calibri" w:eastAsia="Calibri" w:cs="Calibri"/>
          <w:color w:val="000000"/>
          <w:sz w:val="22"/>
          <w:szCs w:val="22"/>
        </w:rPr>
        <w:t xml:space="preserve">Circular exit holes (usually 10-15 mm) made by emerging adults can be observed at the base of the trunk and on the emerging roots of host plants; another symptom of adults infestation are the ‘T-shaped’ oviposition incisions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Ciampitti &amp; Cavagna, 2013), however they are very difficult to find without a thorough visual inspection.</w:t>
      </w:r>
    </w:p>
    <w:p>
      <w:pPr>
        <w:widowControl w:val="on"/>
        <w:pBdr/>
        <w:spacing w:before="220" w:after="220" w:line="240" w:lineRule="auto"/>
        <w:ind w:left="0" w:right="0"/>
        <w:jc w:val="both"/>
      </w:pPr>
      <w:r>
        <w:rPr>
          <w:rFonts w:ascii="Calibri" w:hAnsi="Calibri" w:eastAsia="Calibri" w:cs="Calibri"/>
          <w:color w:val="000000"/>
          <w:sz w:val="22"/>
          <w:szCs w:val="22"/>
        </w:rPr>
        <w:t xml:space="preserve">Typical symptoms of the presence of adults are the signs of feeding on twigs and suckers, as well as wilting foliage, stem discoloration and branch desiccation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Ciampitti &amp; Cavagna, 2013; EFSA,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About 5 mm long, elongate, subcylindrical and tapering towards both ends. Creamy-white but towards hatching gradually turning yellowish-brown (Lieu, 1945).</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Larvae </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 is an elongate, cylindrical, legless grub. It is creamy-white, with some yellow, chitinized patterns on the prothorax. It ranges from about 5 mm long for the newly hatched larvae up to about 50 mm long for the mature larvae. The head is brown, prognathous and usually retracted into the prothorax. The prothorax is always larger than the abdomen, meso- and metathorax and about twice the width of the head. A distinct pigmented band is present anterior to the pronotal shield. The antennae are very short, three-segmented. The ocelli, one on each side, are ventro-lateral to the antennae (Lieu, 1945; Nakamura, 1981; Gyeltshen &amp; Hodges, 2005; Pennacchio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Pupae</w:t>
      </w:r>
      <w:r>
        <w:rPr>
          <w:rFonts w:ascii="Calibri" w:hAnsi="Calibri" w:eastAsia="Calibri" w:cs="Calibri"/>
          <w:b/>
          <w:bCs/>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pupae are exarate and 27 to 38 mm long; they have elytra that only partially cover the membranous hind wings and curve around to the ventral surface of the body (Gyeltshen &amp; Hodges, 2005).</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Typically cerambycid in shape; the body length usually ranges between 19 and 37 mm. Antennae 1.7-2 times length of body in male; 1.2 times length of body in female. The beetle is black with several white hair spots on the elytra. Adults of both sexes have the characteristic of possessing 20–40 small projections (tubercles) on the basal one fifth of each elytron. This character can allow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to be distinguished from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(Lingafelter &amp; Hoebeke, 2002; Thomas, 2004;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EPPO, 2016a; EFSA,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detection at the beginning of infestation is difficult due to the small amount of frass ejected externally by larvae. However, the frass becomes easier to see as the larvae mature as there is an accumulation of frass outside of the trunk on the ground (near collar region) and on emerging roots. This sign can be confused with frass ejected by larvae of xylophagous </w:t>
      </w:r>
      <w:r>
        <w:rPr>
          <w:rFonts w:ascii="Calibri" w:hAnsi="Calibri" w:eastAsia="Calibri" w:cs="Calibri"/>
          <w:i/>
          <w:iCs/>
          <w:color w:val="000000"/>
          <w:sz w:val="22"/>
          <w:szCs w:val="22"/>
        </w:rPr>
        <w:t xml:space="preserve">Lepidoptera</w:t>
      </w:r>
      <w:r>
        <w:rPr>
          <w:rFonts w:ascii="Calibri" w:hAnsi="Calibri" w:eastAsia="Calibri" w:cs="Calibri"/>
          <w:color w:val="000000"/>
          <w:sz w:val="22"/>
          <w:szCs w:val="22"/>
        </w:rPr>
        <w:t xml:space="preserve"> (e.g.</w:t>
      </w:r>
      <w:r>
        <w:rPr>
          <w:rFonts w:ascii="Calibri" w:hAnsi="Calibri" w:eastAsia="Calibri" w:cs="Calibri"/>
          <w:i/>
          <w:iCs/>
          <w:color w:val="000000"/>
          <w:sz w:val="22"/>
          <w:szCs w:val="22"/>
        </w:rPr>
        <w:t xml:space="preserve"> Cossus cossus</w:t>
      </w:r>
      <w:r>
        <w:rPr>
          <w:rFonts w:ascii="Calibri" w:hAnsi="Calibri" w:eastAsia="Calibri" w:cs="Calibri"/>
          <w:color w:val="000000"/>
          <w:sz w:val="22"/>
          <w:szCs w:val="22"/>
        </w:rPr>
        <w:t xml:space="preserve">) and others xylophagous Coleoptera. A molecular test (nested PCR) allowing the detection of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DNA in frass has been developed (Strangi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However limited validation data are available for this test. Exit holes may be visual on the trunk of host plants after the first generation has emerged.</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traps could be coupled with others detection and inspection methods. In 2015 a study was published where a male-produced attractant pheromone was identified in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Yasui &amp; Fujiwara-Tsujii, 2016). However, according to the literature, there is no commercial trapping system available for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specifically (EFSA, 2019). In Italy (Lombardy Region) some results were obtained using Cross Vane Panel Traps and Multi Funnel Traps loaded with various mixtures of the plant volatiles in combination with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attractants; the traps were positioned in areas of recent outbreaks and in those where eradication is close to being achieved. In addition, the traps are used for early detection in sites considered to be at risk (e.g. areas for green composting) (Regione Lombardia, 2020a).</w:t>
      </w:r>
    </w:p>
    <w:p>
      <w:pPr>
        <w:widowControl w:val="on"/>
        <w:pBdr/>
        <w:spacing w:before="220" w:after="220" w:line="240" w:lineRule="auto"/>
        <w:ind w:left="0" w:right="0"/>
        <w:jc w:val="both"/>
      </w:pPr>
      <w:r>
        <w:rPr>
          <w:rFonts w:ascii="Calibri" w:hAnsi="Calibri" w:eastAsia="Calibri" w:cs="Calibri"/>
          <w:color w:val="000000"/>
          <w:sz w:val="22"/>
          <w:szCs w:val="22"/>
        </w:rPr>
        <w:t xml:space="preserve">Public awareness is a very effective tool for surveillance and plays a fundamental role. In Italy (Lombardy Region) the active role of citizens was considered fundamental to detect new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infestation and to prevent its spread (Ciampitti &amp; Cavagna, 2014). Citizens can also support the surveillance of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through citizen science apps such as FitoDetective (Regione Lombardia, 2020b).</w:t>
      </w:r>
    </w:p>
    <w:p>
      <w:pPr>
        <w:widowControl w:val="on"/>
        <w:pBdr/>
        <w:spacing w:before="220" w:after="220" w:line="240" w:lineRule="auto"/>
        <w:ind w:left="0" w:right="0"/>
        <w:jc w:val="both"/>
      </w:pPr>
      <w:r>
        <w:rPr>
          <w:rFonts w:ascii="Calibri" w:hAnsi="Calibri" w:eastAsia="Calibri" w:cs="Calibri"/>
          <w:color w:val="000000"/>
          <w:sz w:val="22"/>
          <w:szCs w:val="22"/>
        </w:rPr>
        <w:t xml:space="preserve">To confirm that a plant is infested by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and not by another xylophagus species, it is essential to identify the larva(e) or the adult specimen(s) found by morphological or molecular analyses. Pennacchio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Lingafelter &amp; Hoebecke, 2002 published useful taxonomical keys for the morphological identification of late instar larvae and of the adults respectively. An EPPO diagnostic protocol is in preparation for this pest. Molecular identification of specimens can be performed using DNA barcoding (see EPPO Standard PM 7/129 (EPPO, 2016b)).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important pathway for the introduction of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is the import of host plants from areas where this species is present (EPPO, 2013).</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is most likely to be moved as eggs, larvae or pupae in live woody plants such as bonsai and nursery stock.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EPPO, 2001, 2002; CABI, 2020).</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fly readily, as is the case for other Cerambycidae. EFSA (2019) estimated that the maximum distance of natural spread in one year is about 194 m (with a 95% uncertainty range of 42–904 m). The specific scenario considers a population with a 2-year cycle based on average conditions in the European Union. In Italy, a geographic study shows that new infestations of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could be found within 500 m of the previously infested trees in urban areas and within 663 m in agricultural areas (Cavagna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important damage is caused by larvae. These bore into the wood of living trees reducing the quality and value of the wood and causing the death of trees (Eschen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As previously reported, in Asia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is considered a serious pest of citrus orchards where it causes important economic losses (Gressitt, 1942; Lieu, 1945; Mitomi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Because of this, citrus plantations near import locations are risk areas that should be considered for surveillance and monitoring, particularly in regions where citrus cultivation is of economic relevance (EFSA, 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Asia,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is also an important pest of many stone and pome fruit, and mulberry trees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Due to its wide host range,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could have extremely high economic impacts in countries where it is introduced. </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and Europe,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has been found mostly in urban areas. Often the destruction of infested plants is required to prevent its spread.  In the case of private gardens this may involve not only economic costs, but also have a social impact on local inhabitants.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control measures against the spread of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consist of the destruction and the removal of infested trees including roots. Using root grinding equipment can help ensure effectiveness. In addition, for effective control of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in urban areas, the collaboration of citizens is essential, for this reason it is very important to replace the destroyed infested plants with non-host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oviposition occurs mainly on the lower trunk it is possible to apply techniques to exclude ovipositing adults (Adachi, 1989). In Italy wire nets are applied for this purpose on particularly valuable plants or in situations where it is not technically possible to destroy the stumps.</w:t>
      </w:r>
    </w:p>
    <w:p>
      <w:pPr>
        <w:widowControl w:val="on"/>
        <w:pBdr/>
        <w:spacing w:before="220" w:after="220" w:line="240" w:lineRule="auto"/>
        <w:ind w:left="0" w:right="0"/>
        <w:jc w:val="both"/>
      </w:pPr>
      <w:r>
        <w:rPr>
          <w:rFonts w:ascii="Calibri" w:hAnsi="Calibri" w:eastAsia="Calibri" w:cs="Calibri"/>
          <w:color w:val="000000"/>
          <w:sz w:val="22"/>
          <w:szCs w:val="22"/>
        </w:rPr>
        <w:t xml:space="preserve">A wide variety of insecticides have been tested for </w:t>
      </w:r>
      <w:r>
        <w:rPr>
          <w:rFonts w:ascii="Calibri" w:hAnsi="Calibri" w:eastAsia="Calibri" w:cs="Calibri"/>
          <w:i/>
          <w:iCs/>
          <w:color w:val="000000"/>
          <w:sz w:val="22"/>
          <w:szCs w:val="22"/>
        </w:rPr>
        <w:t xml:space="preserve">Anoplophora</w:t>
      </w:r>
      <w:r>
        <w:rPr>
          <w:rFonts w:ascii="Calibri" w:hAnsi="Calibri" w:eastAsia="Calibri" w:cs="Calibri"/>
          <w:color w:val="000000"/>
          <w:sz w:val="22"/>
          <w:szCs w:val="22"/>
        </w:rPr>
        <w:t xml:space="preserve"> spp., mainly on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In Asia, for example, the fumigant aluminum phosphide is placed directly in larval galleries, organophosphates are used as systemic treatments, and pyrethroids are commonly used as trunk and foliar sprays (Hu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Another promising pyrethroid is lambda-cyhalothrin, which can be applied as an encapsulated contact insecticide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of larvae is usually not very effective for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however, chemical studies conducted in Italy in 2013 achieved some promising results when the basal trunks were initially treated with pyrethroid solutions and after 20 days treated with a mixture of pyrethroids and neonicotinoids (Cavalieri, 2013; Wang, 2017).</w:t>
      </w:r>
    </w:p>
    <w:p>
      <w:pPr>
        <w:widowControl w:val="on"/>
        <w:pBdr/>
        <w:spacing w:before="220" w:after="220" w:line="240" w:lineRule="auto"/>
        <w:ind w:left="0" w:right="0"/>
        <w:jc w:val="both"/>
      </w:pPr>
      <w:r>
        <w:rPr>
          <w:rFonts w:ascii="Calibri" w:hAnsi="Calibri" w:eastAsia="Calibri" w:cs="Calibri"/>
          <w:color w:val="000000"/>
          <w:sz w:val="22"/>
          <w:szCs w:val="22"/>
        </w:rPr>
        <w:t xml:space="preserve">Some biological control agents have been studied and tested. In Italy (Lombardy Region), in 2002 in Parabiago area (Milano Province) a Eulophid </w:t>
      </w:r>
      <w:r>
        <w:rPr>
          <w:rFonts w:ascii="Calibri" w:hAnsi="Calibri" w:eastAsia="Calibri" w:cs="Calibri"/>
          <w:i/>
          <w:iCs/>
          <w:color w:val="000000"/>
          <w:sz w:val="22"/>
          <w:szCs w:val="22"/>
        </w:rPr>
        <w:t xml:space="preserve">Aprostocetus anoplophorae</w:t>
      </w:r>
      <w:r>
        <w:rPr>
          <w:rFonts w:ascii="Calibri" w:hAnsi="Calibri" w:eastAsia="Calibri" w:cs="Calibri"/>
          <w:color w:val="000000"/>
          <w:sz w:val="22"/>
          <w:szCs w:val="22"/>
        </w:rPr>
        <w:t xml:space="preserve"> n. sp. has been reported on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eggs. Several field trials with </w:t>
      </w:r>
      <w:r>
        <w:rPr>
          <w:rFonts w:ascii="Calibri" w:hAnsi="Calibri" w:eastAsia="Calibri" w:cs="Calibri"/>
          <w:i/>
          <w:iCs/>
          <w:color w:val="000000"/>
          <w:sz w:val="22"/>
          <w:szCs w:val="22"/>
        </w:rPr>
        <w:t xml:space="preserve">A. anoplophorae</w:t>
      </w:r>
      <w:r>
        <w:rPr>
          <w:rFonts w:ascii="Calibri" w:hAnsi="Calibri" w:eastAsia="Calibri" w:cs="Calibri"/>
          <w:color w:val="000000"/>
          <w:sz w:val="22"/>
          <w:szCs w:val="22"/>
        </w:rPr>
        <w:t xml:space="preserve"> have been held in Lombardy Region (Delvare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Hérard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Brabbs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Maspero, 2015). In the literature several potential control agents are reported such as the nematode </w:t>
      </w:r>
      <w:r>
        <w:rPr>
          <w:rFonts w:ascii="Calibri" w:hAnsi="Calibri" w:eastAsia="Calibri" w:cs="Calibri"/>
          <w:i/>
          <w:iCs/>
          <w:color w:val="000000"/>
          <w:sz w:val="22"/>
          <w:szCs w:val="22"/>
        </w:rPr>
        <w:t xml:space="preserve">Steinernema feltiae</w:t>
      </w:r>
      <w:r>
        <w:rPr>
          <w:rFonts w:ascii="Calibri" w:hAnsi="Calibri" w:eastAsia="Calibri" w:cs="Calibri"/>
          <w:color w:val="000000"/>
          <w:sz w:val="22"/>
          <w:szCs w:val="22"/>
        </w:rPr>
        <w:t xml:space="preserve">, the entomopathogenic fungus </w:t>
      </w:r>
      <w:r>
        <w:rPr>
          <w:rFonts w:ascii="Calibri" w:hAnsi="Calibri" w:eastAsia="Calibri" w:cs="Calibri"/>
          <w:i/>
          <w:iCs/>
          <w:color w:val="000000"/>
          <w:sz w:val="22"/>
          <w:szCs w:val="22"/>
        </w:rPr>
        <w:t xml:space="preserve">Beauveria brongniartii</w:t>
      </w:r>
      <w:r>
        <w:rPr>
          <w:rFonts w:ascii="Calibri" w:hAnsi="Calibri" w:eastAsia="Calibri" w:cs="Calibri"/>
          <w:color w:val="000000"/>
          <w:sz w:val="22"/>
          <w:szCs w:val="22"/>
        </w:rPr>
        <w:t xml:space="preserve"> and some insect parasitoids (e.g. </w:t>
      </w:r>
      <w:r>
        <w:rPr>
          <w:rFonts w:ascii="Calibri" w:hAnsi="Calibri" w:eastAsia="Calibri" w:cs="Calibri"/>
          <w:i/>
          <w:iCs/>
          <w:color w:val="000000"/>
          <w:sz w:val="22"/>
          <w:szCs w:val="22"/>
        </w:rPr>
        <w:t xml:space="preserve">Spathius erythrocephalus</w:t>
      </w:r>
      <w:r>
        <w:rPr>
          <w:rFonts w:ascii="Calibri" w:hAnsi="Calibri" w:eastAsia="Calibri" w:cs="Calibri"/>
          <w:color w:val="000000"/>
          <w:sz w:val="22"/>
          <w:szCs w:val="22"/>
        </w:rPr>
        <w:t xml:space="preserve">) (Kashio, 1982, 1986; Kashio &amp; Ujiye, 1988; Brabbs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is highly polyphagous. The availability of host plants is not a limiting factor for its establishment and spread in the EPPO countries as well as climatic conditions, except in the most northern areas. The findings and outbreaks that have occurred in Europe from 2000 to date demonstrate the beetle’s adaptation to different climates and environments; due to this, the risk of establishment, spread and damage is considered very high (Van Der Gaag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is able to attack and cause damage to fruit trees, ornamental and forest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of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infestations is very problematic because often the infested plants are without signs and infestations may remain undetected for many years and allow the growth of a large population. In this case, eradication and control activities become long and costly. For this reason, it is very important to set up an accurate surveillance of the territory and implement strategies of early detection.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Since movement of live plants are the main pathway of movement of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it is important that the host plants are only imported from pest-free areas. Alternatively, the plants should be grown under carefully supervised conditions in registered nurseries. Suitable precautions would be to grow the plants for at least two years before dispatch in an insect-proof enclosure, inspecting them several times a year for the presence of </w:t>
      </w:r>
      <w:r>
        <w:rPr>
          <w:rFonts w:ascii="Calibri" w:hAnsi="Calibri" w:eastAsia="Calibri" w:cs="Calibri"/>
          <w:i/>
          <w:iCs/>
          <w:color w:val="000000"/>
          <w:sz w:val="22"/>
          <w:szCs w:val="22"/>
        </w:rPr>
        <w:t xml:space="preserve">A. chinensis.</w:t>
      </w:r>
    </w:p>
    <w:p>
      <w:pPr>
        <w:widowControl w:val="on"/>
        <w:pBdr/>
        <w:spacing w:before="220" w:after="220" w:line="240" w:lineRule="auto"/>
        <w:ind w:left="0" w:right="0"/>
        <w:jc w:val="both"/>
      </w:pPr>
      <w:r>
        <w:rPr>
          <w:rFonts w:ascii="Calibri" w:hAnsi="Calibri" w:eastAsia="Calibri" w:cs="Calibri"/>
          <w:color w:val="000000"/>
          <w:sz w:val="22"/>
          <w:szCs w:val="22"/>
        </w:rPr>
        <w:t xml:space="preserve">As a general approach, it has also been recommended that when importing plants for planting (except seeds) and wood commodities of </w:t>
      </w:r>
      <w:r>
        <w:rPr>
          <w:rFonts w:ascii="Calibri" w:hAnsi="Calibri" w:eastAsia="Calibri" w:cs="Calibri"/>
          <w:i/>
          <w:iCs/>
          <w:color w:val="000000"/>
          <w:sz w:val="22"/>
          <w:szCs w:val="22"/>
        </w:rPr>
        <w:t xml:space="preserve">Castanea, Quercus, Betula, Populus, Salix, Fagus, Ulmus and Juglans</w:t>
      </w:r>
      <w:r>
        <w:rPr>
          <w:rFonts w:ascii="Calibri" w:hAnsi="Calibri" w:eastAsia="Calibri" w:cs="Calibri"/>
          <w:color w:val="000000"/>
          <w:sz w:val="22"/>
          <w:szCs w:val="22"/>
        </w:rPr>
        <w:t xml:space="preserve"> from countries where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occurs, precautions should have been taken to avoid any infestations while the consignments are transported through possibly infested areas (EPPO, 2017a,b,c,d,2018, 2020a,b).</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is subjected to emergency measures under Commission Implementing Decision 2012/138/EU of 1 March 2012 as regards emergency measures to prevent the introduction into and the spread within the Union.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Adachi I &amp; Korenaga R (1989). Control methods for </w:t>
      </w:r>
      <w:r>
        <w:rPr>
          <w:rFonts w:ascii="Calibri" w:hAnsi="Calibri" w:eastAsia="Calibri" w:cs="Calibri"/>
          <w:i/>
          <w:iCs/>
          <w:color w:val="000000"/>
          <w:sz w:val="22"/>
          <w:szCs w:val="22"/>
        </w:rPr>
        <w:t xml:space="preserve">Anoplophora malasiaca</w:t>
      </w:r>
      <w:r>
        <w:rPr>
          <w:rFonts w:ascii="Calibri" w:hAnsi="Calibri" w:eastAsia="Calibri" w:cs="Calibri"/>
          <w:color w:val="000000"/>
          <w:sz w:val="22"/>
          <w:szCs w:val="22"/>
        </w:rPr>
        <w:t xml:space="preserve"> Thomson (Coleoptera, Cerambycidae) in citrus groves. 1. Comparison of effects in several methods for preventing oviposition.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315-318.</w:t>
      </w:r>
    </w:p>
    <w:p>
      <w:pPr>
        <w:widowControl w:val="on"/>
        <w:pBdr/>
        <w:spacing w:before="220" w:after="220" w:line="240" w:lineRule="auto"/>
        <w:ind w:left="0" w:right="0"/>
        <w:jc w:val="left"/>
      </w:pPr>
      <w:r>
        <w:rPr>
          <w:rFonts w:ascii="Calibri" w:hAnsi="Calibri" w:eastAsia="Calibri" w:cs="Calibri"/>
          <w:color w:val="000000"/>
          <w:sz w:val="22"/>
          <w:szCs w:val="22"/>
        </w:rPr>
        <w:t xml:space="preserve">Brabbs T, Collins D, Hérard F, Maspero M &amp; Eyre D (2015) Prospects for the use of biological control agents against </w:t>
      </w:r>
      <w:r>
        <w:rPr>
          <w:rFonts w:ascii="Calibri" w:hAnsi="Calibri" w:eastAsia="Calibri" w:cs="Calibri"/>
          <w:i/>
          <w:iCs/>
          <w:color w:val="000000"/>
          <w:sz w:val="22"/>
          <w:szCs w:val="22"/>
        </w:rPr>
        <w:t xml:space="preserve">Anoplophora</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7–14.</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(black and white citrus longhorn). Available at </w:t>
      </w:r>
      <w:hyperlink r:id="rId1781665a9923d54fd" w:history="1">
        <w:r>
          <w:rPr>
            <w:rFonts w:ascii="Calibri" w:hAnsi="Calibri" w:eastAsia="Calibri" w:cs="Calibri"/>
            <w:color w:val="0000CC"/>
            <w:sz w:val="22"/>
            <w:szCs w:val="22"/>
            <w:u w:val="single"/>
          </w:rPr>
          <w:t xml:space="preserve">https://www.cabi.org/isc/datasheet/5556</w:t>
        </w:r>
      </w:hyperlink>
      <w:r>
        <w:rPr>
          <w:rFonts w:ascii="Calibri" w:hAnsi="Calibri" w:eastAsia="Calibri" w:cs="Calibri"/>
          <w:color w:val="000000"/>
          <w:sz w:val="22"/>
          <w:szCs w:val="22"/>
        </w:rPr>
        <w:t xml:space="preserve"> [accessed on 11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Cavagna B, Ciampitti M, Bianchi A, Rossi S &amp; Luchelli M. (2013) Lombardy Region experience to support the prediction and detection strategies. </w:t>
      </w:r>
      <w:r>
        <w:rPr>
          <w:rFonts w:ascii="Calibri" w:hAnsi="Calibri" w:eastAsia="Calibri" w:cs="Calibri"/>
          <w:i/>
          <w:iCs/>
          <w:color w:val="000000"/>
          <w:sz w:val="22"/>
          <w:szCs w:val="22"/>
        </w:rPr>
        <w:t xml:space="preserve">Journal of Entomological and Acarological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1-6.</w:t>
      </w:r>
    </w:p>
    <w:p>
      <w:pPr>
        <w:widowControl w:val="on"/>
        <w:pBdr/>
        <w:spacing w:before="220" w:after="220" w:line="240" w:lineRule="auto"/>
        <w:ind w:left="0" w:right="0"/>
        <w:jc w:val="left"/>
      </w:pPr>
      <w:r>
        <w:rPr>
          <w:rFonts w:ascii="Calibri" w:hAnsi="Calibri" w:eastAsia="Calibri" w:cs="Calibri"/>
          <w:color w:val="000000"/>
          <w:sz w:val="22"/>
          <w:szCs w:val="22"/>
        </w:rPr>
        <w:t xml:space="preserve">Cavalieri G. (2013) Summary of 2008-2011 trials on the possibility of controlling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with pesticides. </w:t>
      </w:r>
      <w:r>
        <w:rPr>
          <w:rFonts w:ascii="Calibri" w:hAnsi="Calibri" w:eastAsia="Calibri" w:cs="Calibri"/>
          <w:i/>
          <w:iCs/>
          <w:color w:val="000000"/>
          <w:sz w:val="22"/>
          <w:szCs w:val="22"/>
        </w:rPr>
        <w:t xml:space="preserve">Journal of Entomological and Acarological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23-24.</w:t>
      </w:r>
    </w:p>
    <w:p>
      <w:pPr>
        <w:widowControl w:val="on"/>
        <w:pBdr/>
        <w:spacing w:before="220" w:after="220" w:line="240" w:lineRule="auto"/>
        <w:ind w:left="0" w:right="0"/>
        <w:jc w:val="left"/>
      </w:pPr>
      <w:r>
        <w:rPr>
          <w:rFonts w:ascii="Calibri" w:hAnsi="Calibri" w:eastAsia="Calibri" w:cs="Calibri"/>
          <w:color w:val="000000"/>
          <w:sz w:val="22"/>
          <w:szCs w:val="22"/>
        </w:rPr>
        <w:t xml:space="preserve">Ciampitti M &amp; Cavagna B. (2013)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&amp;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new tools for predicting, detecting and fighting. How to save our forests and our urban green spaces. </w:t>
      </w:r>
      <w:r>
        <w:rPr>
          <w:rFonts w:ascii="Calibri" w:hAnsi="Calibri" w:eastAsia="Calibri" w:cs="Calibri"/>
          <w:i/>
          <w:iCs/>
          <w:color w:val="000000"/>
          <w:sz w:val="22"/>
          <w:szCs w:val="22"/>
        </w:rPr>
        <w:t xml:space="preserve">Journal of Entomological and Acarological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1-40.</w:t>
      </w:r>
    </w:p>
    <w:p>
      <w:pPr>
        <w:widowControl w:val="on"/>
        <w:pBdr/>
        <w:spacing w:before="220" w:after="220" w:line="240" w:lineRule="auto"/>
        <w:ind w:left="0" w:right="0"/>
        <w:jc w:val="left"/>
      </w:pPr>
      <w:r>
        <w:rPr>
          <w:rFonts w:ascii="Calibri" w:hAnsi="Calibri" w:eastAsia="Calibri" w:cs="Calibri"/>
          <w:color w:val="000000"/>
          <w:sz w:val="22"/>
          <w:szCs w:val="22"/>
        </w:rPr>
        <w:t xml:space="preserve">Ciampitti M &amp; Cavagna B (2014) Public awareness: a useful tool for the early detection and a successful eradication of the longhorned beetles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(2), 248-250.</w:t>
      </w:r>
    </w:p>
    <w:p>
      <w:pPr>
        <w:widowControl w:val="on"/>
        <w:pBdr/>
        <w:spacing w:before="220" w:after="220" w:line="240" w:lineRule="auto"/>
        <w:ind w:left="0" w:right="0"/>
        <w:jc w:val="left"/>
      </w:pPr>
      <w:r>
        <w:rPr>
          <w:rFonts w:ascii="Calibri" w:hAnsi="Calibri" w:eastAsia="Calibri" w:cs="Calibri"/>
          <w:color w:val="000000"/>
          <w:sz w:val="22"/>
          <w:szCs w:val="22"/>
        </w:rPr>
        <w:t xml:space="preserve">Ciampitti M, Cesana G, Asti S &amp; Cavagna B (2018) FitoDetective: mobile application to support pest surveillance. </w:t>
      </w:r>
      <w:r>
        <w:rPr>
          <w:rFonts w:ascii="Calibri" w:hAnsi="Calibri" w:eastAsia="Calibri" w:cs="Calibri"/>
          <w:i/>
          <w:iCs/>
          <w:color w:val="000000"/>
          <w:sz w:val="22"/>
          <w:szCs w:val="22"/>
        </w:rPr>
        <w:t xml:space="preserve">World Forum on Urban Forest Mantova 27/11-01/12/2018</w:t>
      </w:r>
    </w:p>
    <w:p>
      <w:pPr>
        <w:widowControl w:val="on"/>
        <w:pBdr/>
        <w:spacing w:before="220" w:after="220" w:line="240" w:lineRule="auto"/>
        <w:ind w:left="0" w:right="0"/>
        <w:jc w:val="left"/>
      </w:pPr>
      <w:r>
        <w:rPr>
          <w:rFonts w:ascii="Calibri" w:hAnsi="Calibri" w:eastAsia="Calibri" w:cs="Calibri"/>
          <w:color w:val="000000"/>
          <w:sz w:val="22"/>
          <w:szCs w:val="22"/>
        </w:rPr>
        <w:t xml:space="preserve">Colombo M &amp; Limonta L (2001) </w:t>
      </w:r>
      <w:r>
        <w:rPr>
          <w:rFonts w:ascii="Calibri" w:hAnsi="Calibri" w:eastAsia="Calibri" w:cs="Calibri"/>
          <w:i/>
          <w:iCs/>
          <w:color w:val="000000"/>
          <w:sz w:val="22"/>
          <w:szCs w:val="22"/>
        </w:rPr>
        <w:t xml:space="preserve">Anoplophora malasiaca</w:t>
      </w:r>
      <w:r>
        <w:rPr>
          <w:rFonts w:ascii="Calibri" w:hAnsi="Calibri" w:eastAsia="Calibri" w:cs="Calibri"/>
          <w:color w:val="000000"/>
          <w:sz w:val="22"/>
          <w:szCs w:val="22"/>
        </w:rPr>
        <w:t xml:space="preserve"> Thomson (Coleoptera Cerambycidae Lamiinae Lamiini) in Europe. </w:t>
      </w:r>
      <w:r>
        <w:rPr>
          <w:rFonts w:ascii="Calibri" w:hAnsi="Calibri" w:eastAsia="Calibri" w:cs="Calibri"/>
          <w:i/>
          <w:iCs/>
          <w:color w:val="000000"/>
          <w:sz w:val="22"/>
          <w:szCs w:val="22"/>
        </w:rPr>
        <w:t xml:space="preserve">Bollettino di Zoologia agraria e di Bachicoltura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(1), 65-68.</w:t>
      </w:r>
    </w:p>
    <w:p>
      <w:pPr>
        <w:widowControl w:val="on"/>
        <w:pBdr/>
        <w:spacing w:before="220" w:after="220" w:line="240" w:lineRule="auto"/>
        <w:ind w:left="0" w:right="0"/>
        <w:jc w:val="left"/>
      </w:pPr>
      <w:r>
        <w:rPr>
          <w:rFonts w:ascii="Calibri" w:hAnsi="Calibri" w:eastAsia="Calibri" w:cs="Calibri"/>
          <w:color w:val="000000"/>
          <w:sz w:val="22"/>
          <w:szCs w:val="22"/>
        </w:rPr>
        <w:t xml:space="preserve">Delvare G., Bon MC, Hérard F, Cocquempot C, Maspero M &amp; Colombo M. (2004) Description of </w:t>
      </w:r>
      <w:r>
        <w:rPr>
          <w:rFonts w:ascii="Calibri" w:hAnsi="Calibri" w:eastAsia="Calibri" w:cs="Calibri"/>
          <w:i/>
          <w:iCs/>
          <w:color w:val="000000"/>
          <w:sz w:val="22"/>
          <w:szCs w:val="22"/>
        </w:rPr>
        <w:t xml:space="preserve">Aprostocetus anoplophorae</w:t>
      </w:r>
      <w:r>
        <w:rPr>
          <w:rFonts w:ascii="Calibri" w:hAnsi="Calibri" w:eastAsia="Calibri" w:cs="Calibri"/>
          <w:color w:val="000000"/>
          <w:sz w:val="22"/>
          <w:szCs w:val="22"/>
        </w:rPr>
        <w:t xml:space="preserve"> n. sp. (Hymenoptera: Eulophidae), a new egg parasitoid of the invasive pest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(Förster) (Coleoptera: Cerambycidae). In </w:t>
      </w:r>
      <w:r>
        <w:rPr>
          <w:rFonts w:ascii="Calibri" w:hAnsi="Calibri" w:eastAsia="Calibri" w:cs="Calibri"/>
          <w:i/>
          <w:iCs/>
          <w:color w:val="000000"/>
          <w:sz w:val="22"/>
          <w:szCs w:val="22"/>
        </w:rPr>
        <w:t xml:space="preserve">Annales de la Société entomologique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(3-4), 227-233.</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(1999)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found under glasshouse in Georgia (US). </w:t>
      </w:r>
      <w:r>
        <w:rPr>
          <w:rFonts w:ascii="Calibri" w:hAnsi="Calibri" w:eastAsia="Calibri" w:cs="Calibri"/>
          <w:i/>
          <w:iCs/>
          <w:color w:val="000000"/>
          <w:sz w:val="22"/>
          <w:szCs w:val="22"/>
        </w:rPr>
        <w:t xml:space="preserve">EPPO Reporting service </w:t>
      </w:r>
      <w:r>
        <w:rPr>
          <w:rFonts w:ascii="Calibri" w:hAnsi="Calibri" w:eastAsia="Calibri" w:cs="Calibri"/>
          <w:color w:val="000000"/>
          <w:sz w:val="22"/>
          <w:szCs w:val="22"/>
        </w:rPr>
        <w:t xml:space="preserve">article no</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1999/101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 Phytosanitary incidents reported on bonsai and pot plants in the Netherlands. </w:t>
      </w:r>
      <w:r>
        <w:rPr>
          <w:rFonts w:ascii="Calibri" w:hAnsi="Calibri" w:eastAsia="Calibri" w:cs="Calibri"/>
          <w:i/>
          <w:iCs/>
          <w:color w:val="000000"/>
          <w:sz w:val="22"/>
          <w:szCs w:val="22"/>
        </w:rPr>
        <w:t xml:space="preserve">EPPO Reporting Service </w:t>
      </w:r>
      <w:r>
        <w:rPr>
          <w:rFonts w:ascii="Calibri" w:hAnsi="Calibri" w:eastAsia="Calibri" w:cs="Calibri"/>
          <w:color w:val="000000"/>
          <w:sz w:val="22"/>
          <w:szCs w:val="22"/>
        </w:rPr>
        <w:t xml:space="preserve">article no</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2001/045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National regulatory systems. PM 9/16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Procedures for official control.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518-526.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(2016a) PM 3/79(1) Consignment inspection for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Anoplophora glabripennis. EPPO Bulletin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58–67.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(2016b) PM 7/129 (1) DNA barcoding as an identification tool for a number of regulated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501-537.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(2017a) PM 8/4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445-451.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(2017b) PM 8/5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452-460.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(2017c) PM 8/6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461-469.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(2017d) PM 8/7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470-478.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(2017e) PM 8/8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479-486.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8/9 </w:t>
      </w:r>
      <w:r>
        <w:rPr>
          <w:rFonts w:ascii="Calibri" w:hAnsi="Calibri" w:eastAsia="Calibri" w:cs="Calibri"/>
          <w:i/>
          <w:iCs/>
          <w:color w:val="000000"/>
          <w:sz w:val="22"/>
          <w:szCs w:val="22"/>
        </w:rPr>
        <w:t xml:space="preserve">Fagus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495-500.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Update on the situation of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in Italy. </w:t>
      </w:r>
      <w:r>
        <w:rPr>
          <w:rFonts w:ascii="Calibri" w:hAnsi="Calibri" w:eastAsia="Calibri" w:cs="Calibri"/>
          <w:i/>
          <w:iCs/>
          <w:color w:val="000000"/>
          <w:sz w:val="22"/>
          <w:szCs w:val="22"/>
        </w:rPr>
        <w:t xml:space="preserve">EPPO Reporting Service no.</w:t>
      </w:r>
      <w:r>
        <w:rPr>
          <w:rFonts w:ascii="Calibri" w:hAnsi="Calibri" w:eastAsia="Calibri" w:cs="Calibri"/>
          <w:color w:val="000000"/>
          <w:sz w:val="22"/>
          <w:szCs w:val="22"/>
        </w:rPr>
        <w:t xml:space="preserve"> 2019/235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(2020a) </w:t>
      </w:r>
      <w:r>
        <w:rPr>
          <w:rFonts w:ascii="Calibri" w:hAnsi="Calibri" w:eastAsia="Calibri" w:cs="Calibri"/>
          <w:i/>
          <w:iCs/>
          <w:color w:val="000000"/>
          <w:sz w:val="22"/>
          <w:szCs w:val="22"/>
        </w:rPr>
        <w:t xml:space="preserve">Anoplophora chinensis </w:t>
      </w:r>
      <w:r>
        <w:rPr>
          <w:rFonts w:ascii="Calibri" w:hAnsi="Calibri" w:eastAsia="Calibri" w:cs="Calibri"/>
          <w:color w:val="000000"/>
          <w:sz w:val="22"/>
          <w:szCs w:val="22"/>
        </w:rPr>
        <w:t xml:space="preserve">(ANOLCN) </w:t>
      </w:r>
      <w:r>
        <w:rPr>
          <w:rFonts w:ascii="Calibri" w:hAnsi="Calibri" w:eastAsia="Calibri" w:cs="Calibri"/>
          <w:i/>
          <w:iCs/>
          <w:color w:val="000000"/>
          <w:sz w:val="22"/>
          <w:szCs w:val="22"/>
        </w:rPr>
        <w:t xml:space="preserve">Reporting Service articles</w:t>
      </w:r>
      <w:r>
        <w:rPr>
          <w:rFonts w:ascii="Calibri" w:hAnsi="Calibri" w:eastAsia="Calibri" w:cs="Calibri"/>
          <w:color w:val="000000"/>
          <w:sz w:val="22"/>
          <w:szCs w:val="22"/>
        </w:rPr>
        <w:t xml:space="preserve">. </w:t>
      </w:r>
      <w:hyperlink r:id="rId3835665a9923d5e33" w:history="1">
        <w:r>
          <w:rPr>
            <w:rFonts w:ascii="Calibri" w:hAnsi="Calibri" w:eastAsia="Calibri" w:cs="Calibri"/>
            <w:color w:val="0000CC"/>
            <w:sz w:val="22"/>
            <w:szCs w:val="22"/>
            <w:u w:val="single"/>
          </w:rPr>
          <w:t xml:space="preserve">https://gd.eppo.int/taxon/ANOLCN/reporting</w:t>
        </w:r>
      </w:hyperlink>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[accessed on 26 June 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(2020b) PM 8/10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88-98.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(2020c) PM 8/12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107-119.</w:t>
      </w:r>
    </w:p>
    <w:p>
      <w:pPr>
        <w:widowControl w:val="on"/>
        <w:pBdr/>
        <w:spacing w:before="220" w:after="220" w:line="240" w:lineRule="auto"/>
        <w:ind w:left="0" w:right="0"/>
        <w:jc w:val="left"/>
      </w:pPr>
      <w:r>
        <w:rPr>
          <w:rFonts w:ascii="Calibri" w:hAnsi="Calibri" w:eastAsia="Calibri" w:cs="Calibri"/>
          <w:color w:val="000000"/>
          <w:sz w:val="22"/>
          <w:szCs w:val="22"/>
        </w:rPr>
        <w:t xml:space="preserve">Eschen R, Grégoire JC, Hengeveld GM, Bram M, Rigaux L &amp; Potting R P (2015) Trade patterns of the tree nursery industry in Europe and changes following findings of citrus longhorn beetle,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Forster. </w:t>
      </w:r>
      <w:r>
        <w:rPr>
          <w:rFonts w:ascii="Calibri" w:hAnsi="Calibri" w:eastAsia="Calibri" w:cs="Calibri"/>
          <w:i/>
          <w:iCs/>
          <w:color w:val="000000"/>
          <w:sz w:val="22"/>
          <w:szCs w:val="22"/>
        </w:rPr>
        <w:t xml:space="preserve">NeoBiota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w:t>
      </w:r>
    </w:p>
    <w:p>
      <w:pPr>
        <w:widowControl w:val="on"/>
        <w:pBdr/>
        <w:spacing w:before="220" w:after="220" w:line="240" w:lineRule="auto"/>
        <w:ind w:left="0" w:right="0"/>
        <w:jc w:val="left"/>
      </w:pPr>
      <w:r>
        <w:rPr>
          <w:rFonts w:ascii="Calibri" w:hAnsi="Calibri" w:eastAsia="Calibri" w:cs="Calibri"/>
          <w:color w:val="000000"/>
          <w:sz w:val="22"/>
          <w:szCs w:val="22"/>
        </w:rPr>
        <w:t xml:space="preserve">European Food Safety Authority (EFSA), Hoppe B, Schrader G, Kinkar M &amp; Vos S.(2019) Pest survey card on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Supporting Publications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(12), 1747E.</w:t>
      </w:r>
    </w:p>
    <w:p>
      <w:pPr>
        <w:widowControl w:val="on"/>
        <w:pBdr/>
        <w:spacing w:before="220" w:after="220" w:line="240" w:lineRule="auto"/>
        <w:ind w:left="0" w:right="0"/>
        <w:jc w:val="left"/>
      </w:pPr>
      <w:r>
        <w:rPr>
          <w:rFonts w:ascii="Calibri" w:hAnsi="Calibri" w:eastAsia="Calibri" w:cs="Calibri"/>
          <w:color w:val="000000"/>
          <w:sz w:val="22"/>
          <w:szCs w:val="22"/>
        </w:rPr>
        <w:t xml:space="preserve">EU (2016) Regulation (EU) 2016/2031 of the European Parliament of the Council of 26 October 2016 on protective measures against pests of plants, amending Regulations (EU) No 228/2013,(EU) No 652/2014 and (EU) No 1143/2014 of the European Parliament and of the Council and repealing Council Directives 69/464/EEC, 74/647/EEC, 93/85/EEC, 98/57/EC, 2000/29/EC, 2006/91/EC and 2007/33/EC. </w:t>
      </w:r>
      <w:r>
        <w:rPr>
          <w:rFonts w:ascii="Calibri" w:hAnsi="Calibri" w:eastAsia="Calibri" w:cs="Calibri"/>
          <w:i/>
          <w:iCs/>
          <w:color w:val="000000"/>
          <w:sz w:val="22"/>
          <w:szCs w:val="22"/>
        </w:rPr>
        <w:t xml:space="preserve">Official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317</w:t>
      </w:r>
      <w:r>
        <w:rPr>
          <w:rFonts w:ascii="Calibri" w:hAnsi="Calibri" w:eastAsia="Calibri" w:cs="Calibri"/>
          <w:color w:val="000000"/>
          <w:sz w:val="22"/>
          <w:szCs w:val="22"/>
        </w:rPr>
        <w:t xml:space="preserve">, 4-104.</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Delegated Regulation (EU) 2019/1702 of 1 August 2019 supplementing Regulation (EU) 2016/2031 of the European Parliament and of the Council by establishing the list of priority pests.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260</w:t>
      </w:r>
      <w:r>
        <w:rPr>
          <w:rFonts w:ascii="Calibri" w:hAnsi="Calibri" w:eastAsia="Calibri" w:cs="Calibri"/>
          <w:color w:val="000000"/>
          <w:sz w:val="22"/>
          <w:szCs w:val="22"/>
        </w:rPr>
        <w:t xml:space="preserve">, 8-10.</w:t>
      </w:r>
    </w:p>
    <w:p>
      <w:pPr>
        <w:widowControl w:val="on"/>
        <w:pBdr/>
        <w:spacing w:before="220" w:after="220" w:line="240" w:lineRule="auto"/>
        <w:ind w:left="0" w:right="0"/>
        <w:jc w:val="left"/>
      </w:pPr>
      <w:r>
        <w:rPr>
          <w:rFonts w:ascii="Calibri" w:hAnsi="Calibri" w:eastAsia="Calibri" w:cs="Calibri"/>
          <w:color w:val="000000"/>
          <w:sz w:val="22"/>
          <w:szCs w:val="22"/>
        </w:rPr>
        <w:t xml:space="preserve">Fujiwara-Tsujii N, Yasui H, Yasuda T, Wakamura S, Akino T, Fukaya M, Suziki T, Hoshi T, Hagiwara H &amp; Ono H (2019) Contact sex pheromone activity of synthetic Gomadalactones in male white-spotted longhorn beetle, </w:t>
      </w:r>
      <w:r>
        <w:rPr>
          <w:rFonts w:ascii="Calibri" w:hAnsi="Calibri" w:eastAsia="Calibri" w:cs="Calibri"/>
          <w:i/>
          <w:iCs/>
          <w:color w:val="000000"/>
          <w:sz w:val="22"/>
          <w:szCs w:val="22"/>
        </w:rPr>
        <w:t xml:space="preserve">Anoplophora malasiaca</w:t>
      </w:r>
      <w:r>
        <w:rPr>
          <w:rFonts w:ascii="Calibri" w:hAnsi="Calibri" w:eastAsia="Calibri" w:cs="Calibri"/>
          <w:color w:val="000000"/>
          <w:sz w:val="22"/>
          <w:szCs w:val="22"/>
        </w:rPr>
        <w:t xml:space="preserve"> (Coleoptera: Cerambycidae).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440-446.</w:t>
      </w:r>
    </w:p>
    <w:p>
      <w:pPr>
        <w:widowControl w:val="on"/>
        <w:pBdr/>
        <w:spacing w:before="220" w:after="220" w:line="240" w:lineRule="auto"/>
        <w:ind w:left="0" w:right="0"/>
        <w:jc w:val="left"/>
      </w:pPr>
      <w:r>
        <w:rPr>
          <w:rFonts w:ascii="Calibri" w:hAnsi="Calibri" w:eastAsia="Calibri" w:cs="Calibri"/>
          <w:color w:val="000000"/>
          <w:sz w:val="22"/>
          <w:szCs w:val="22"/>
        </w:rPr>
        <w:t xml:space="preserve">Gressitt JL (1942) Destructive long-horned beetle borers at Canton, China (1). </w:t>
      </w:r>
      <w:r>
        <w:rPr>
          <w:rFonts w:ascii="Calibri" w:hAnsi="Calibri" w:eastAsia="Calibri" w:cs="Calibri"/>
          <w:i/>
          <w:iCs/>
          <w:color w:val="000000"/>
          <w:sz w:val="22"/>
          <w:szCs w:val="22"/>
        </w:rPr>
        <w:t xml:space="preserve">Special. Publication. Lingnan Natural History Survey</w:t>
      </w:r>
      <w:r>
        <w:rPr>
          <w:rFonts w:ascii="Calibri" w:hAnsi="Calibri" w:eastAsia="Calibri" w:cs="Calibri"/>
          <w:color w:val="000000"/>
          <w:sz w:val="22"/>
          <w:szCs w:val="22"/>
        </w:rPr>
        <w:t xml:space="preserve"> No.1 pp.60 pp.</w:t>
      </w:r>
    </w:p>
    <w:p>
      <w:pPr>
        <w:widowControl w:val="on"/>
        <w:pBdr/>
        <w:spacing w:before="220" w:after="220" w:line="240" w:lineRule="auto"/>
        <w:ind w:left="0" w:right="0"/>
        <w:jc w:val="left"/>
      </w:pPr>
      <w:r>
        <w:rPr>
          <w:rFonts w:ascii="Calibri" w:hAnsi="Calibri" w:eastAsia="Calibri" w:cs="Calibri"/>
          <w:color w:val="000000"/>
          <w:sz w:val="22"/>
          <w:szCs w:val="22"/>
        </w:rPr>
        <w:t xml:space="preserve">Gressitt JL (1951) Longicorn beetles of China. </w:t>
      </w:r>
      <w:r>
        <w:rPr>
          <w:rFonts w:ascii="Calibri" w:hAnsi="Calibri" w:eastAsia="Calibri" w:cs="Calibri"/>
          <w:i/>
          <w:iCs/>
          <w:color w:val="000000"/>
          <w:sz w:val="22"/>
          <w:szCs w:val="22"/>
        </w:rPr>
        <w:t xml:space="preserve">Lepesme P.:  Longicornia, études et notes sur les longicornes, Volume 2. Paris: Paul Lechevalier.</w:t>
      </w:r>
      <w:r>
        <w:rPr>
          <w:rFonts w:ascii="Calibri" w:hAnsi="Calibri" w:eastAsia="Calibri" w:cs="Calibri"/>
          <w:color w:val="000000"/>
          <w:sz w:val="22"/>
          <w:szCs w:val="22"/>
        </w:rPr>
        <w:t xml:space="preserve"> 667 pp.</w:t>
      </w:r>
    </w:p>
    <w:p>
      <w:pPr>
        <w:widowControl w:val="on"/>
        <w:pBdr/>
        <w:spacing w:before="220" w:after="220" w:line="240" w:lineRule="auto"/>
        <w:ind w:left="0" w:right="0"/>
        <w:jc w:val="left"/>
      </w:pPr>
      <w:r>
        <w:rPr>
          <w:rFonts w:ascii="Calibri" w:hAnsi="Calibri" w:eastAsia="Calibri" w:cs="Calibri"/>
          <w:color w:val="000000"/>
          <w:sz w:val="22"/>
          <w:szCs w:val="22"/>
        </w:rPr>
        <w:t xml:space="preserve">Gyeltshen J &amp; Hodges A (2005) Citrus longhorned beetle,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(Forster)(Insecta: Coleoptera: Cerambycidae). </w:t>
      </w:r>
      <w:r>
        <w:rPr>
          <w:rFonts w:ascii="Calibri" w:hAnsi="Calibri" w:eastAsia="Calibri" w:cs="Calibri"/>
          <w:i/>
          <w:iCs/>
          <w:color w:val="000000"/>
          <w:sz w:val="22"/>
          <w:szCs w:val="22"/>
        </w:rPr>
        <w:t xml:space="preserve">EDIS</w:t>
      </w:r>
      <w:r>
        <w:rPr>
          <w:rFonts w:ascii="Calibri" w:hAnsi="Calibri" w:eastAsia="Calibri" w:cs="Calibri"/>
          <w:color w:val="000000"/>
          <w:sz w:val="22"/>
          <w:szCs w:val="22"/>
        </w:rPr>
        <w:t xml:space="preserve">, (12).</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 A, Hérard F, Sun J, &amp; Turgeon JJ (2010) Managing invasive populations of Asian longhorned beetle and citrus longhorned beetle: a worldwide perspective.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521-546.</w:t>
      </w:r>
    </w:p>
    <w:p>
      <w:pPr>
        <w:widowControl w:val="on"/>
        <w:pBdr/>
        <w:spacing w:before="220" w:after="220" w:line="240" w:lineRule="auto"/>
        <w:ind w:left="0" w:right="0"/>
        <w:jc w:val="left"/>
      </w:pPr>
      <w:r>
        <w:rPr>
          <w:rFonts w:ascii="Calibri" w:hAnsi="Calibri" w:eastAsia="Calibri" w:cs="Calibri"/>
          <w:color w:val="000000"/>
          <w:sz w:val="22"/>
          <w:szCs w:val="22"/>
        </w:rPr>
        <w:t xml:space="preserve">Hansen L, Xu T, Wickham J, Chen Y, Hao D, Hanks L M, Millar JG, &amp; Teale SA (2015) Identification of a male-produced pheromone component of the citrus longhorned beetle,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(8), e0134358.</w:t>
      </w:r>
    </w:p>
    <w:p>
      <w:pPr>
        <w:widowControl w:val="on"/>
        <w:pBdr/>
        <w:spacing w:before="220" w:after="220" w:line="240" w:lineRule="auto"/>
        <w:ind w:left="0" w:right="0"/>
        <w:jc w:val="left"/>
      </w:pPr>
      <w:r>
        <w:rPr>
          <w:rFonts w:ascii="Calibri" w:hAnsi="Calibri" w:eastAsia="Calibri" w:cs="Calibri"/>
          <w:color w:val="000000"/>
          <w:sz w:val="22"/>
          <w:szCs w:val="22"/>
        </w:rPr>
        <w:t xml:space="preserve">Hérard F, Cocquempot C, Lopez J, Covi J, Colombo M &amp; Maspero M (2005) Field study to evaluate the egg parasitoid </w:t>
      </w:r>
      <w:r>
        <w:rPr>
          <w:rFonts w:ascii="Calibri" w:hAnsi="Calibri" w:eastAsia="Calibri" w:cs="Calibri"/>
          <w:i/>
          <w:iCs/>
          <w:color w:val="000000"/>
          <w:sz w:val="22"/>
          <w:szCs w:val="22"/>
        </w:rPr>
        <w:t xml:space="preserve">Aprostocetus anoplophorae</w:t>
      </w:r>
      <w:r>
        <w:rPr>
          <w:rFonts w:ascii="Calibri" w:hAnsi="Calibri" w:eastAsia="Calibri" w:cs="Calibri"/>
          <w:color w:val="000000"/>
          <w:sz w:val="22"/>
          <w:szCs w:val="22"/>
        </w:rPr>
        <w:t xml:space="preserve"> sp. n. (Hymenoptera: Eulophidae) on two </w:t>
      </w:r>
      <w:r>
        <w:rPr>
          <w:rFonts w:ascii="Calibri" w:hAnsi="Calibri" w:eastAsia="Calibri" w:cs="Calibri"/>
          <w:i/>
          <w:iCs/>
          <w:color w:val="000000"/>
          <w:sz w:val="22"/>
          <w:szCs w:val="22"/>
        </w:rPr>
        <w:t xml:space="preserve">Anoplophora</w:t>
      </w:r>
      <w:r>
        <w:rPr>
          <w:rFonts w:ascii="Calibri" w:hAnsi="Calibri" w:eastAsia="Calibri" w:cs="Calibri"/>
          <w:color w:val="000000"/>
          <w:sz w:val="22"/>
          <w:szCs w:val="22"/>
        </w:rPr>
        <w:t xml:space="preserve"> hosts. </w:t>
      </w:r>
      <w:r>
        <w:rPr>
          <w:rFonts w:ascii="Calibri" w:hAnsi="Calibri" w:eastAsia="Calibri" w:cs="Calibri"/>
          <w:i/>
          <w:iCs/>
          <w:color w:val="000000"/>
          <w:sz w:val="22"/>
          <w:szCs w:val="22"/>
        </w:rPr>
        <w:t xml:space="preserve">Gottschalk, Kurt W., ed. Proceedings, XV US Department of Agriculture</w:t>
      </w:r>
      <w:r>
        <w:rPr>
          <w:rFonts w:ascii="Calibri" w:hAnsi="Calibri" w:eastAsia="Calibri" w:cs="Calibri"/>
          <w:color w:val="000000"/>
          <w:sz w:val="22"/>
          <w:szCs w:val="22"/>
        </w:rPr>
        <w:t xml:space="preserve">, MD, pp.40-42.</w:t>
      </w:r>
    </w:p>
    <w:p>
      <w:pPr>
        <w:widowControl w:val="on"/>
        <w:pBdr/>
        <w:spacing w:before="220" w:after="220" w:line="240" w:lineRule="auto"/>
        <w:ind w:left="0" w:right="0"/>
        <w:jc w:val="left"/>
      </w:pPr>
      <w:r>
        <w:rPr>
          <w:rFonts w:ascii="Calibri" w:hAnsi="Calibri" w:eastAsia="Calibri" w:cs="Calibri"/>
          <w:color w:val="000000"/>
          <w:sz w:val="22"/>
          <w:szCs w:val="22"/>
        </w:rPr>
        <w:t xml:space="preserve">Hu J, Angeli S, Schuetz S, Luo Y &amp; Hajek AE (2009) Ecology and management of exotic and endemic Asian longhorned beetle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Agricultural and Forest Entomology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359–375.</w:t>
      </w:r>
    </w:p>
    <w:p>
      <w:pPr>
        <w:widowControl w:val="on"/>
        <w:pBdr/>
        <w:spacing w:before="220" w:after="220" w:line="240" w:lineRule="auto"/>
        <w:ind w:left="0" w:right="0"/>
        <w:jc w:val="left"/>
      </w:pPr>
      <w:r>
        <w:rPr>
          <w:rFonts w:ascii="Calibri" w:hAnsi="Calibri" w:eastAsia="Calibri" w:cs="Calibri"/>
          <w:color w:val="000000"/>
          <w:sz w:val="22"/>
          <w:szCs w:val="22"/>
        </w:rPr>
        <w:t xml:space="preserve">Iwaizumi R (2016) Notes on the reproductive behavior of the white-spotted longicorn beetle, </w:t>
      </w:r>
      <w:r>
        <w:rPr>
          <w:rFonts w:ascii="Calibri" w:hAnsi="Calibri" w:eastAsia="Calibri" w:cs="Calibri"/>
          <w:i/>
          <w:iCs/>
          <w:color w:val="000000"/>
          <w:sz w:val="22"/>
          <w:szCs w:val="22"/>
        </w:rPr>
        <w:t xml:space="preserve">Anoplophora malasiaca</w:t>
      </w:r>
      <w:r>
        <w:rPr>
          <w:rFonts w:ascii="Calibri" w:hAnsi="Calibri" w:eastAsia="Calibri" w:cs="Calibri"/>
          <w:color w:val="000000"/>
          <w:sz w:val="22"/>
          <w:szCs w:val="22"/>
        </w:rPr>
        <w:t xml:space="preserve"> (Thomson) (Coleoptera: Cerambycidae). </w:t>
      </w:r>
      <w:r>
        <w:rPr>
          <w:rFonts w:ascii="Calibri" w:hAnsi="Calibri" w:eastAsia="Calibri" w:cs="Calibri"/>
          <w:i/>
          <w:iCs/>
          <w:color w:val="000000"/>
          <w:sz w:val="22"/>
          <w:szCs w:val="22"/>
        </w:rPr>
        <w:t xml:space="preserve">Research Bulletin of the Plant Protection Service Japan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51-56.</w:t>
      </w:r>
    </w:p>
    <w:p>
      <w:pPr>
        <w:widowControl w:val="on"/>
        <w:pBdr/>
        <w:spacing w:before="220" w:after="220" w:line="240" w:lineRule="auto"/>
        <w:ind w:left="0" w:right="0"/>
        <w:jc w:val="left"/>
      </w:pPr>
      <w:r>
        <w:rPr>
          <w:rFonts w:ascii="Calibri" w:hAnsi="Calibri" w:eastAsia="Calibri" w:cs="Calibri"/>
          <w:color w:val="000000"/>
          <w:sz w:val="22"/>
          <w:szCs w:val="22"/>
        </w:rPr>
        <w:t xml:space="preserve">Kashio T (1982) [Laboratory evaluation of entomogenous nematodes, </w:t>
      </w:r>
      <w:r>
        <w:rPr>
          <w:rFonts w:ascii="Calibri" w:hAnsi="Calibri" w:eastAsia="Calibri" w:cs="Calibri"/>
          <w:i/>
          <w:iCs/>
          <w:color w:val="000000"/>
          <w:sz w:val="22"/>
          <w:szCs w:val="22"/>
        </w:rPr>
        <w:t xml:space="preserve">N</w:t>
      </w:r>
      <w:r>
        <w:rPr>
          <w:rFonts w:ascii="Calibri" w:hAnsi="Calibri" w:eastAsia="Calibri" w:cs="Calibri"/>
          <w:i/>
          <w:iCs/>
          <w:color w:val="000000"/>
          <w:sz w:val="22"/>
          <w:szCs w:val="22"/>
        </w:rPr>
        <w:t xml:space="preserve">eoaplectana carpocapsae</w:t>
      </w:r>
      <w:r>
        <w:rPr>
          <w:rFonts w:ascii="Calibri" w:hAnsi="Calibri" w:eastAsia="Calibri" w:cs="Calibri"/>
          <w:color w:val="000000"/>
          <w:sz w:val="22"/>
          <w:szCs w:val="22"/>
        </w:rPr>
        <w:t xml:space="preserve"> Weiser, as a biological control agent of the white-spotted longicorn beetle, </w:t>
      </w:r>
      <w:r>
        <w:rPr>
          <w:rFonts w:ascii="Calibri" w:hAnsi="Calibri" w:eastAsia="Calibri" w:cs="Calibri"/>
          <w:i/>
          <w:iCs/>
          <w:color w:val="000000"/>
          <w:sz w:val="22"/>
          <w:szCs w:val="22"/>
        </w:rPr>
        <w:t xml:space="preserve">Anoplophora malasiaca</w:t>
      </w:r>
      <w:r>
        <w:rPr>
          <w:rFonts w:ascii="Calibri" w:hAnsi="Calibri" w:eastAsia="Calibri" w:cs="Calibri"/>
          <w:color w:val="000000"/>
          <w:sz w:val="22"/>
          <w:szCs w:val="22"/>
        </w:rPr>
        <w:t xml:space="preserve"> Thompson]. </w:t>
      </w:r>
      <w:r>
        <w:rPr>
          <w:rFonts w:ascii="Calibri" w:hAnsi="Calibri" w:eastAsia="Calibri" w:cs="Calibri"/>
          <w:i/>
          <w:iCs/>
          <w:color w:val="000000"/>
          <w:sz w:val="22"/>
          <w:szCs w:val="22"/>
        </w:rPr>
        <w:t xml:space="preserve">Proceedings of the Association for Plant Protection of Kyushu</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194-197. </w:t>
      </w:r>
    </w:p>
    <w:p>
      <w:pPr>
        <w:widowControl w:val="on"/>
        <w:pBdr/>
        <w:spacing w:before="220" w:after="220" w:line="240" w:lineRule="auto"/>
        <w:ind w:left="0" w:right="0"/>
        <w:jc w:val="left"/>
      </w:pPr>
      <w:r>
        <w:rPr>
          <w:rFonts w:ascii="Calibri" w:hAnsi="Calibri" w:eastAsia="Calibri" w:cs="Calibri"/>
          <w:color w:val="000000"/>
          <w:sz w:val="22"/>
          <w:szCs w:val="22"/>
        </w:rPr>
        <w:t xml:space="preserve">Kashio T (1986) [Application of bark compost containing entomogenous nematodes, </w:t>
      </w:r>
      <w:r>
        <w:rPr>
          <w:rFonts w:ascii="Calibri" w:hAnsi="Calibri" w:eastAsia="Calibri" w:cs="Calibri"/>
          <w:i/>
          <w:iCs/>
          <w:color w:val="000000"/>
          <w:sz w:val="22"/>
          <w:szCs w:val="22"/>
        </w:rPr>
        <w:t xml:space="preserve">Steinernema feltiae</w:t>
      </w:r>
      <w:r>
        <w:rPr>
          <w:rFonts w:ascii="Calibri" w:hAnsi="Calibri" w:eastAsia="Calibri" w:cs="Calibri"/>
          <w:color w:val="000000"/>
          <w:sz w:val="22"/>
          <w:szCs w:val="22"/>
        </w:rPr>
        <w:t xml:space="preserve"> DD-136, for the control of white spotted longicorn beetle, </w:t>
      </w:r>
      <w:r>
        <w:rPr>
          <w:rFonts w:ascii="Calibri" w:hAnsi="Calibri" w:eastAsia="Calibri" w:cs="Calibri"/>
          <w:i/>
          <w:iCs/>
          <w:color w:val="000000"/>
          <w:sz w:val="22"/>
          <w:szCs w:val="22"/>
        </w:rPr>
        <w:t xml:space="preserve">Anoplophora malasiaca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Proceedings of the Association for Plant Protection of Kyushu</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175-178. </w:t>
      </w:r>
    </w:p>
    <w:p>
      <w:pPr>
        <w:widowControl w:val="on"/>
        <w:pBdr/>
        <w:spacing w:before="220" w:after="220" w:line="240" w:lineRule="auto"/>
        <w:ind w:left="0" w:right="0"/>
        <w:jc w:val="left"/>
      </w:pPr>
      <w:r>
        <w:rPr>
          <w:rFonts w:ascii="Calibri" w:hAnsi="Calibri" w:eastAsia="Calibri" w:cs="Calibri"/>
          <w:color w:val="000000"/>
          <w:sz w:val="22"/>
          <w:szCs w:val="22"/>
        </w:rPr>
        <w:t xml:space="preserve">Kashio T &amp; Ujiye T (1988) [Evaluation of the use of the entomogenous fungus, </w:t>
      </w:r>
      <w:r>
        <w:rPr>
          <w:rFonts w:ascii="Calibri" w:hAnsi="Calibri" w:eastAsia="Calibri" w:cs="Calibri"/>
          <w:i/>
          <w:iCs/>
          <w:color w:val="000000"/>
          <w:sz w:val="22"/>
          <w:szCs w:val="22"/>
        </w:rPr>
        <w:t xml:space="preserve">Beauveria tenella</w:t>
      </w:r>
      <w:r>
        <w:rPr>
          <w:rFonts w:ascii="Calibri" w:hAnsi="Calibri" w:eastAsia="Calibri" w:cs="Calibri"/>
          <w:color w:val="000000"/>
          <w:sz w:val="22"/>
          <w:szCs w:val="22"/>
        </w:rPr>
        <w:t xml:space="preserve">, isolated from the yellow spotted longicorn beetle, </w:t>
      </w:r>
      <w:r>
        <w:rPr>
          <w:rFonts w:ascii="Calibri" w:hAnsi="Calibri" w:eastAsia="Calibri" w:cs="Calibri"/>
          <w:i/>
          <w:iCs/>
          <w:color w:val="000000"/>
          <w:sz w:val="22"/>
          <w:szCs w:val="22"/>
        </w:rPr>
        <w:t xml:space="preserve">Psacothea hilaris</w:t>
      </w:r>
      <w:r>
        <w:rPr>
          <w:rFonts w:ascii="Calibri" w:hAnsi="Calibri" w:eastAsia="Calibri" w:cs="Calibri"/>
          <w:color w:val="000000"/>
          <w:sz w:val="22"/>
          <w:szCs w:val="22"/>
        </w:rPr>
        <w:t xml:space="preserve"> for the biological control of the white spotted longicorn beetle </w:t>
      </w:r>
      <w:r>
        <w:rPr>
          <w:rFonts w:ascii="Calibri" w:hAnsi="Calibri" w:eastAsia="Calibri" w:cs="Calibri"/>
          <w:i/>
          <w:iCs/>
          <w:color w:val="000000"/>
          <w:sz w:val="22"/>
          <w:szCs w:val="22"/>
        </w:rPr>
        <w:t xml:space="preserve">Anoplophora malasiaca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Proceedings of the Association for Plant Protection of Kyushu</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190-193.</w:t>
      </w:r>
    </w:p>
    <w:p>
      <w:pPr>
        <w:widowControl w:val="on"/>
        <w:pBdr/>
        <w:spacing w:before="220" w:after="220" w:line="240" w:lineRule="auto"/>
        <w:ind w:left="0" w:right="0"/>
        <w:jc w:val="left"/>
      </w:pPr>
      <w:r>
        <w:rPr>
          <w:rFonts w:ascii="Calibri" w:hAnsi="Calibri" w:eastAsia="Calibri" w:cs="Calibri"/>
          <w:color w:val="000000"/>
          <w:sz w:val="22"/>
          <w:szCs w:val="22"/>
        </w:rPr>
        <w:t xml:space="preserve">Li-ying, Li &amp; Ren, Wang &amp; Waterhouse, Doug F (1997). The distribution and importance of arthropod pests and weeds of agriculture and forestry plantations in Southern China,</w:t>
      </w:r>
      <w:r>
        <w:rPr>
          <w:rFonts w:ascii="Calibri" w:hAnsi="Calibri" w:eastAsia="Calibri" w:cs="Calibri"/>
          <w:i/>
          <w:iCs/>
          <w:color w:val="000000"/>
          <w:sz w:val="22"/>
          <w:szCs w:val="22"/>
        </w:rPr>
        <w:t xml:space="preserve"> Monographs, Australian Centre for International Agricultural Research, number 117177, Summer.</w:t>
      </w:r>
    </w:p>
    <w:p>
      <w:pPr>
        <w:widowControl w:val="on"/>
        <w:pBdr/>
        <w:spacing w:before="220" w:after="220" w:line="240" w:lineRule="auto"/>
        <w:ind w:left="0" w:right="0"/>
        <w:jc w:val="left"/>
      </w:pPr>
      <w:r>
        <w:rPr>
          <w:rFonts w:ascii="Calibri" w:hAnsi="Calibri" w:eastAsia="Calibri" w:cs="Calibri"/>
          <w:color w:val="000000"/>
          <w:sz w:val="22"/>
          <w:szCs w:val="22"/>
        </w:rPr>
        <w:t xml:space="preserve">Lingafelter SW &amp; Hoebeke ER (2002) Revision of the genus </w:t>
      </w:r>
      <w:r>
        <w:rPr>
          <w:rFonts w:ascii="Calibri" w:hAnsi="Calibri" w:eastAsia="Calibri" w:cs="Calibri"/>
          <w:i/>
          <w:iCs/>
          <w:color w:val="000000"/>
          <w:sz w:val="22"/>
          <w:szCs w:val="22"/>
        </w:rPr>
        <w:t xml:space="preserve">Anoplophora</w:t>
      </w:r>
      <w:r>
        <w:rPr>
          <w:rFonts w:ascii="Calibri" w:hAnsi="Calibri" w:eastAsia="Calibri" w:cs="Calibri"/>
          <w:color w:val="000000"/>
          <w:sz w:val="22"/>
          <w:szCs w:val="22"/>
        </w:rPr>
        <w:t xml:space="preserve"> (Coleoptera: Cerambycidae) (No. 595.7648 L5). Washington, DC: </w:t>
      </w:r>
      <w:r>
        <w:rPr>
          <w:rFonts w:ascii="Calibri" w:hAnsi="Calibri" w:eastAsia="Calibri" w:cs="Calibri"/>
          <w:i/>
          <w:iCs/>
          <w:color w:val="000000"/>
          <w:sz w:val="22"/>
          <w:szCs w:val="22"/>
        </w:rPr>
        <w:t xml:space="preserve">Entomological Society of Washington</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Lieu KOV (1945) The study of wood borers in China. I.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61-101. </w:t>
      </w:r>
    </w:p>
    <w:p>
      <w:pPr>
        <w:widowControl w:val="on"/>
        <w:pBdr/>
        <w:spacing w:before="220" w:after="220" w:line="240" w:lineRule="auto"/>
        <w:ind w:left="0" w:right="0"/>
        <w:jc w:val="left"/>
      </w:pPr>
      <w:r>
        <w:rPr>
          <w:rFonts w:ascii="Calibri" w:hAnsi="Calibri" w:eastAsia="Calibri" w:cs="Calibri"/>
          <w:color w:val="000000"/>
          <w:sz w:val="22"/>
          <w:szCs w:val="22"/>
        </w:rPr>
        <w:t xml:space="preserve">Maspero M, Cavalieri G, D’Angelo G, Jucker C, Valentini M, Colombo M, Herard F, Lopez J, Ramualde,N, Ciampitti M, Caremi G &amp; Cavagna B (2007)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 Eradication programme in Lombardia (Italy). </w:t>
      </w:r>
      <w:hyperlink r:id="rId1298665a9923d680a" w:history="1">
        <w:r>
          <w:rPr>
            <w:rFonts w:ascii="Calibri" w:hAnsi="Calibri" w:eastAsia="Calibri" w:cs="Calibri"/>
            <w:color w:val="0000CC"/>
            <w:sz w:val="22"/>
            <w:szCs w:val="22"/>
            <w:u w:val="single"/>
          </w:rPr>
          <w:t xml:space="preserve">https://www.eppo.int/ACTIVITIES/plant_quarantine/shortnotes_qps/anoplophora_chinensis_eradication</w:t>
        </w:r>
      </w:hyperlink>
      <w:r>
        <w:rPr>
          <w:rFonts w:ascii="Calibri" w:hAnsi="Calibri" w:eastAsia="Calibri" w:cs="Calibri"/>
          <w:color w:val="000000"/>
          <w:sz w:val="22"/>
          <w:szCs w:val="22"/>
        </w:rPr>
        <w:t xml:space="preserve"> [accessed on 26 June 2020].</w:t>
      </w:r>
    </w:p>
    <w:p>
      <w:pPr>
        <w:widowControl w:val="on"/>
        <w:pBdr/>
        <w:spacing w:before="220" w:after="220" w:line="240" w:lineRule="auto"/>
        <w:ind w:left="0" w:right="0"/>
        <w:jc w:val="left"/>
      </w:pPr>
      <w:r>
        <w:rPr>
          <w:rFonts w:ascii="Calibri" w:hAnsi="Calibri" w:eastAsia="Calibri" w:cs="Calibri"/>
          <w:color w:val="000000"/>
          <w:sz w:val="22"/>
          <w:szCs w:val="22"/>
        </w:rPr>
        <w:t xml:space="preserve">Mitomi M, Kuroda E &amp; Okamoto H (1990) [Ecological study of the white-spotted longicorn beetle, </w:t>
      </w:r>
      <w:r>
        <w:rPr>
          <w:rFonts w:ascii="Calibri" w:hAnsi="Calibri" w:eastAsia="Calibri" w:cs="Calibri"/>
          <w:i/>
          <w:iCs/>
          <w:color w:val="000000"/>
          <w:sz w:val="22"/>
          <w:szCs w:val="22"/>
        </w:rPr>
        <w:t xml:space="preserve">Anoplophora malasiaca</w:t>
      </w:r>
      <w:r>
        <w:rPr>
          <w:rFonts w:ascii="Calibri" w:hAnsi="Calibri" w:eastAsia="Calibri" w:cs="Calibri"/>
          <w:color w:val="000000"/>
          <w:sz w:val="22"/>
          <w:szCs w:val="22"/>
        </w:rPr>
        <w:t xml:space="preserve"> Thomson (Coleoptera: Cerambycidae). I. Investigation of adult emergence holes in citrus orchards in Kagawa Prefecture].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7-13. </w:t>
      </w:r>
    </w:p>
    <w:p>
      <w:pPr>
        <w:widowControl w:val="on"/>
        <w:pBdr/>
        <w:spacing w:before="220" w:after="220" w:line="240" w:lineRule="auto"/>
        <w:ind w:left="0" w:right="0"/>
        <w:jc w:val="left"/>
      </w:pPr>
      <w:r>
        <w:rPr>
          <w:rFonts w:ascii="Calibri" w:hAnsi="Calibri" w:eastAsia="Calibri" w:cs="Calibri"/>
          <w:color w:val="000000"/>
          <w:sz w:val="22"/>
          <w:szCs w:val="22"/>
        </w:rPr>
        <w:t xml:space="preserve">Nakamura S (1981) Immature stages of Taiwanese cerambycid beetles (Coleoptera, Cerambycidae), with notes on their habit. </w:t>
      </w:r>
      <w:r>
        <w:rPr>
          <w:rFonts w:ascii="Calibri" w:hAnsi="Calibri" w:eastAsia="Calibri" w:cs="Calibri"/>
          <w:i/>
          <w:iCs/>
          <w:color w:val="000000"/>
          <w:sz w:val="22"/>
          <w:szCs w:val="22"/>
        </w:rPr>
        <w:t xml:space="preserve">Kontyu</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155-165. </w:t>
      </w:r>
    </w:p>
    <w:p>
      <w:pPr>
        <w:widowControl w:val="on"/>
        <w:pBdr/>
        <w:spacing w:before="220" w:after="220" w:line="240" w:lineRule="auto"/>
        <w:ind w:left="0" w:right="0"/>
        <w:jc w:val="left"/>
      </w:pPr>
      <w:r>
        <w:rPr>
          <w:rFonts w:ascii="Calibri" w:hAnsi="Calibri" w:eastAsia="Calibri" w:cs="Calibri"/>
          <w:color w:val="000000"/>
          <w:sz w:val="22"/>
          <w:szCs w:val="22"/>
        </w:rPr>
        <w:t xml:space="preserve">Pennacchio F, Peverieri GS, Jucker C, Allegro G &amp; Roversi PF (2012) A key for the identification of larvae of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Anoplophora glabripennis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Psacothea hilaris</w:t>
      </w:r>
      <w:r>
        <w:rPr>
          <w:rFonts w:ascii="Calibri" w:hAnsi="Calibri" w:eastAsia="Calibri" w:cs="Calibri"/>
          <w:color w:val="000000"/>
          <w:sz w:val="22"/>
          <w:szCs w:val="22"/>
        </w:rPr>
        <w:t xml:space="preserve"> (Coleoptera Cerambycidae Lamiinae) in Europe. </w:t>
      </w:r>
      <w:r>
        <w:rPr>
          <w:rFonts w:ascii="Calibri" w:hAnsi="Calibri" w:eastAsia="Calibri" w:cs="Calibri"/>
          <w:i/>
          <w:iCs/>
          <w:color w:val="000000"/>
          <w:sz w:val="22"/>
          <w:szCs w:val="22"/>
        </w:rPr>
        <w:t xml:space="preserve">Redia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57-65.</w:t>
      </w:r>
    </w:p>
    <w:p>
      <w:pPr>
        <w:widowControl w:val="on"/>
        <w:pBdr/>
        <w:spacing w:before="220" w:after="220" w:line="240" w:lineRule="auto"/>
        <w:ind w:left="0" w:right="0"/>
        <w:jc w:val="left"/>
      </w:pPr>
      <w:r>
        <w:rPr>
          <w:rFonts w:ascii="Calibri" w:hAnsi="Calibri" w:eastAsia="Calibri" w:cs="Calibri"/>
          <w:color w:val="000000"/>
          <w:sz w:val="22"/>
          <w:szCs w:val="22"/>
        </w:rPr>
        <w:t xml:space="preserve">Regione Lombardia (2020a)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e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(Tarlo asiatico). Scheda informativa. </w:t>
      </w:r>
      <w:hyperlink r:id="rId4228665a9923d6a1e" w:history="1">
        <w:r>
          <w:rPr>
            <w:rFonts w:ascii="Calibri" w:hAnsi="Calibri" w:eastAsia="Calibri" w:cs="Calibri"/>
            <w:color w:val="0000CC"/>
            <w:sz w:val="22"/>
            <w:szCs w:val="22"/>
            <w:u w:val="single"/>
          </w:rPr>
          <w:t xml:space="preserve">https://www.regione.lombardia.it/wps/portal/istituzionale/HP/DettaglioRedazionale/servizi-e-informazioni/Imprese/Imprese-agricole/servizio-fitosanitario-regionale/organismi-nocivi/anoplophora-chinensis/anoplophora-chinensis-glabripennis</w:t>
        </w:r>
      </w:hyperlink>
      <w:r>
        <w:rPr>
          <w:rFonts w:ascii="Calibri" w:hAnsi="Calibri" w:eastAsia="Calibri" w:cs="Calibri"/>
          <w:color w:val="000000"/>
          <w:sz w:val="22"/>
          <w:szCs w:val="22"/>
        </w:rPr>
        <w:t xml:space="preserve"> [accessed on 26 June 2020].</w:t>
      </w:r>
    </w:p>
    <w:p>
      <w:pPr>
        <w:widowControl w:val="on"/>
        <w:pBdr/>
        <w:spacing w:before="220" w:after="220" w:line="240" w:lineRule="auto"/>
        <w:ind w:left="0" w:right="0"/>
        <w:jc w:val="left"/>
      </w:pPr>
      <w:r>
        <w:rPr>
          <w:rFonts w:ascii="Calibri" w:hAnsi="Calibri" w:eastAsia="Calibri" w:cs="Calibri"/>
          <w:color w:val="000000"/>
          <w:sz w:val="22"/>
          <w:szCs w:val="22"/>
        </w:rPr>
        <w:t xml:space="preserve">Regione Lombardia (2020b) App FitoDetective. Available at </w:t>
      </w:r>
      <w:hyperlink r:id="rId9721665a9923d6a60" w:history="1">
        <w:r>
          <w:rPr>
            <w:rFonts w:ascii="Calibri" w:hAnsi="Calibri" w:eastAsia="Calibri" w:cs="Calibri"/>
            <w:b/>
            <w:bCs/>
            <w:color w:val="0000CC"/>
            <w:sz w:val="22"/>
            <w:szCs w:val="22"/>
            <w:u w:val="single"/>
          </w:rPr>
          <w:t xml:space="preserve">LINK</w:t>
        </w:r>
      </w:hyperlink>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[accessed on 09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Smith IM, McNamara DG, Scott PR, &amp; Holderness M (1997) Quarantine Pests of Europe (2nd edn). CAB International with EPPO.</w:t>
      </w:r>
    </w:p>
    <w:p>
      <w:pPr>
        <w:widowControl w:val="on"/>
        <w:pBdr/>
        <w:spacing w:before="220" w:after="220" w:line="240" w:lineRule="auto"/>
        <w:ind w:left="0" w:right="0"/>
        <w:jc w:val="left"/>
      </w:pPr>
      <w:r>
        <w:rPr>
          <w:rFonts w:ascii="Calibri" w:hAnsi="Calibri" w:eastAsia="Calibri" w:cs="Calibri"/>
          <w:color w:val="000000"/>
          <w:sz w:val="22"/>
          <w:szCs w:val="22"/>
        </w:rPr>
        <w:t xml:space="preserve">Smith MT, Turgeon JJ, de Groot P &amp; Gasman B (2009) Asian longhorned beetle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(Motschulsky): lessons learned and opportunities to improve the process of eradication and management. </w:t>
      </w:r>
      <w:r>
        <w:rPr>
          <w:rFonts w:ascii="Calibri" w:hAnsi="Calibri" w:eastAsia="Calibri" w:cs="Calibri"/>
          <w:i/>
          <w:iCs/>
          <w:color w:val="000000"/>
          <w:sz w:val="22"/>
          <w:szCs w:val="22"/>
        </w:rPr>
        <w:t xml:space="preserve">American Entomologist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21–25.</w:t>
      </w:r>
    </w:p>
    <w:p>
      <w:pPr>
        <w:widowControl w:val="on"/>
        <w:pBdr/>
        <w:spacing w:before="220" w:after="220" w:line="240" w:lineRule="auto"/>
        <w:ind w:left="0" w:right="0"/>
        <w:jc w:val="left"/>
      </w:pPr>
      <w:r>
        <w:rPr>
          <w:rFonts w:ascii="Calibri" w:hAnsi="Calibri" w:eastAsia="Calibri" w:cs="Calibri"/>
          <w:color w:val="000000"/>
          <w:sz w:val="22"/>
          <w:szCs w:val="22"/>
        </w:rPr>
        <w:t xml:space="preserve">Sorauer P (1954) </w:t>
      </w:r>
      <w:r>
        <w:rPr>
          <w:rFonts w:ascii="Calibri" w:hAnsi="Calibri" w:eastAsia="Calibri" w:cs="Calibri"/>
          <w:i/>
          <w:iCs/>
          <w:color w:val="000000"/>
          <w:sz w:val="22"/>
          <w:szCs w:val="22"/>
        </w:rPr>
        <w:t xml:space="preserve">Handbuch der Pflanzenkrankheiten. Tierische Schädlinge an Nutzpflanzen Vol. 5, II. </w:t>
      </w:r>
      <w:r>
        <w:rPr>
          <w:rFonts w:ascii="Calibri" w:hAnsi="Calibri" w:eastAsia="Calibri" w:cs="Calibri"/>
          <w:i/>
          <w:iCs/>
          <w:color w:val="000000"/>
          <w:sz w:val="22"/>
          <w:szCs w:val="22"/>
        </w:rPr>
        <w:t xml:space="preserve">Coleoptera</w:t>
      </w:r>
      <w:r>
        <w:rPr>
          <w:rFonts w:ascii="Calibri" w:hAnsi="Calibri" w:eastAsia="Calibri" w:cs="Calibri"/>
          <w:color w:val="000000"/>
          <w:sz w:val="22"/>
          <w:szCs w:val="22"/>
        </w:rPr>
        <w:t xml:space="preserve">, p. 239. Paul Parey, Berlin, Germany. </w:t>
      </w:r>
    </w:p>
    <w:p>
      <w:pPr>
        <w:widowControl w:val="on"/>
        <w:pBdr/>
        <w:spacing w:before="220" w:after="220" w:line="240" w:lineRule="auto"/>
        <w:ind w:left="0" w:right="0"/>
        <w:jc w:val="left"/>
      </w:pPr>
      <w:r>
        <w:rPr>
          <w:rFonts w:ascii="Calibri" w:hAnsi="Calibri" w:eastAsia="Calibri" w:cs="Calibri"/>
          <w:color w:val="000000"/>
          <w:sz w:val="22"/>
          <w:szCs w:val="22"/>
        </w:rPr>
        <w:t xml:space="preserve">Strangi A, Sabbatini Peverieri G &amp; Roversi PF (2013) Managing outbreaks of the citrus long-horned beetle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(Forster) in Europe: molecular diagnosis of plant infestation.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627–634.</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MC (2004) Pest Alert. A second Asian longhorned beetle in the U.S. Florida Department of Agriculture and Consumer Services, Division of Plant Industry, USA.</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Gaag DJ, Ciampitti M, Cavagna B, Maspero M &amp; Herard F (2008) Pest Risk Analysis for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Plant Protection Service., Wageningen, the Netherlands. </w:t>
      </w:r>
      <w:hyperlink r:id="rId7538665a9923d6c5a" w:history="1">
        <w:r>
          <w:rPr>
            <w:rFonts w:ascii="Calibri" w:hAnsi="Calibri" w:eastAsia="Calibri" w:cs="Calibri"/>
            <w:color w:val="0000CC"/>
            <w:sz w:val="22"/>
            <w:szCs w:val="22"/>
            <w:u w:val="single"/>
          </w:rPr>
          <w:t xml:space="preserve">https://edepot.wur.nl/117610</w:t>
        </w:r>
      </w:hyperlink>
      <w:r>
        <w:rPr>
          <w:rFonts w:ascii="Calibri" w:hAnsi="Calibri" w:eastAsia="Calibri" w:cs="Calibri"/>
          <w:color w:val="000000"/>
          <w:sz w:val="22"/>
          <w:szCs w:val="22"/>
        </w:rPr>
        <w:t xml:space="preserve"> [accessed on 26 June 2020].</w:t>
      </w:r>
    </w:p>
    <w:p>
      <w:pPr>
        <w:widowControl w:val="on"/>
        <w:pBdr/>
        <w:spacing w:before="220" w:after="220" w:line="240" w:lineRule="auto"/>
        <w:ind w:left="0" w:right="0"/>
        <w:jc w:val="left"/>
      </w:pPr>
      <w:r>
        <w:rPr>
          <w:rFonts w:ascii="Calibri" w:hAnsi="Calibri" w:eastAsia="Calibri" w:cs="Calibri"/>
          <w:color w:val="000000"/>
          <w:sz w:val="22"/>
          <w:szCs w:val="22"/>
        </w:rPr>
        <w:t xml:space="preserve">Vukadin A &amp; Hrašovec B (2010) Citrus longhorn beetle situation in Croatia – Two years after the first discovery. </w:t>
      </w:r>
      <w:r>
        <w:rPr>
          <w:rFonts w:ascii="Calibri" w:hAnsi="Calibri" w:eastAsia="Calibri" w:cs="Calibri"/>
          <w:i/>
          <w:iCs/>
          <w:color w:val="000000"/>
          <w:sz w:val="22"/>
          <w:szCs w:val="22"/>
        </w:rPr>
        <w:t xml:space="preserve">Forstschutz Aktuell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38-39.</w:t>
      </w:r>
    </w:p>
    <w:p>
      <w:pPr>
        <w:widowControl w:val="on"/>
        <w:pBdr/>
        <w:spacing w:before="220" w:after="220" w:line="240" w:lineRule="auto"/>
        <w:ind w:left="0" w:right="0"/>
        <w:jc w:val="left"/>
      </w:pPr>
      <w:r>
        <w:rPr>
          <w:rFonts w:ascii="Calibri" w:hAnsi="Calibri" w:eastAsia="Calibri" w:cs="Calibri"/>
          <w:color w:val="000000"/>
          <w:sz w:val="22"/>
          <w:szCs w:val="22"/>
        </w:rPr>
        <w:t xml:space="preserve">Wang TZ &amp; Chen DP (1984) Notes on the damage done by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to </w:t>
      </w:r>
      <w:r>
        <w:rPr>
          <w:rFonts w:ascii="Calibri" w:hAnsi="Calibri" w:eastAsia="Calibri" w:cs="Calibri"/>
          <w:i/>
          <w:iCs/>
          <w:color w:val="000000"/>
          <w:sz w:val="22"/>
          <w:szCs w:val="22"/>
        </w:rPr>
        <w:t xml:space="preserve">Cryptomeria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Science and Technology Linye Keji Tongxun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26-27.</w:t>
      </w:r>
    </w:p>
    <w:p>
      <w:pPr>
        <w:widowControl w:val="on"/>
        <w:pBdr/>
        <w:spacing w:before="220" w:after="220" w:line="240" w:lineRule="auto"/>
        <w:ind w:left="0" w:right="0"/>
        <w:jc w:val="left"/>
      </w:pPr>
      <w:r>
        <w:rPr>
          <w:rFonts w:ascii="Calibri" w:hAnsi="Calibri" w:eastAsia="Calibri" w:cs="Calibri"/>
          <w:color w:val="000000"/>
          <w:sz w:val="22"/>
          <w:szCs w:val="22"/>
        </w:rPr>
        <w:t xml:space="preserve">Wang Q (Ed.) (2017) Cerambycidae of the world: Biology and Pest Management. </w:t>
      </w:r>
      <w:r>
        <w:rPr>
          <w:rFonts w:ascii="Calibri" w:hAnsi="Calibri" w:eastAsia="Calibri" w:cs="Calibri"/>
          <w:i/>
          <w:iCs/>
          <w:color w:val="000000"/>
          <w:sz w:val="22"/>
          <w:szCs w:val="22"/>
        </w:rPr>
        <w:t xml:space="preserve">CRC press</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Yasuda T, Mishiro K, Kusunoki M, Fujiwara-Tsujii N, Yasui H, Uechi N, Fujimura T, Inokuchi R, Fujita K, Kanegae Y, Miura Y, Kato I &amp; Mitsunaga T (2020) Inspection of frass ejection could decrease the risk of white-spotted longicorn beetle </w:t>
      </w:r>
      <w:r>
        <w:rPr>
          <w:rFonts w:ascii="Calibri" w:hAnsi="Calibri" w:eastAsia="Calibri" w:cs="Calibri"/>
          <w:i/>
          <w:iCs/>
          <w:color w:val="000000"/>
          <w:sz w:val="22"/>
          <w:szCs w:val="22"/>
        </w:rPr>
        <w:t xml:space="preserve">Anoplophora malasiaca</w:t>
      </w:r>
      <w:r>
        <w:rPr>
          <w:rFonts w:ascii="Calibri" w:hAnsi="Calibri" w:eastAsia="Calibri" w:cs="Calibri"/>
          <w:color w:val="000000"/>
          <w:sz w:val="22"/>
          <w:szCs w:val="22"/>
        </w:rPr>
        <w:t xml:space="preserve"> (Coleoptera: Cerambycidae) infestation of Japanese pine bonsais to negligible levels.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205-212.</w:t>
      </w:r>
    </w:p>
    <w:p>
      <w:pPr>
        <w:widowControl w:val="on"/>
        <w:pBdr/>
        <w:spacing w:before="220" w:after="220" w:line="240" w:lineRule="auto"/>
        <w:ind w:left="0" w:right="0"/>
        <w:jc w:val="left"/>
      </w:pPr>
      <w:r>
        <w:rPr>
          <w:rFonts w:ascii="Calibri" w:hAnsi="Calibri" w:eastAsia="Calibri" w:cs="Calibri"/>
          <w:color w:val="000000"/>
          <w:sz w:val="22"/>
          <w:szCs w:val="22"/>
        </w:rPr>
        <w:t xml:space="preserve">Yasui H &amp; Fujiwara-Tsujii N (2016) Host plant affects the sexual attractiveness of the female white-spotted longicorn beetle, </w:t>
      </w:r>
      <w:r>
        <w:rPr>
          <w:rFonts w:ascii="Calibri" w:hAnsi="Calibri" w:eastAsia="Calibri" w:cs="Calibri"/>
          <w:i/>
          <w:iCs/>
          <w:color w:val="000000"/>
          <w:sz w:val="22"/>
          <w:szCs w:val="22"/>
        </w:rPr>
        <w:t xml:space="preserve">Anoplophora malasiaca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2020 by Matteo Zugno and Mariangela Ciampitti.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EPPO datasheets on pests recommended for regulation. Available online. </w:t>
      </w:r>
      <w:hyperlink r:id="rId9506665a9923d6f4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as '</w:t>
      </w:r>
      <w:r>
        <w:rPr>
          <w:rFonts w:ascii="Calibri" w:hAnsi="Calibri" w:eastAsia="Calibri" w:cs="Calibri"/>
          <w:i/>
          <w:iCs/>
          <w:color w:val="000000"/>
          <w:sz w:val="22"/>
          <w:szCs w:val="22"/>
        </w:rPr>
        <w:t xml:space="preserve">Anoplophora malasiaca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38885214" name="name4876665a9923d744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840665a9923d744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225007">
    <w:multiLevelType w:val="hybridMultilevel"/>
    <w:lvl w:ilvl="0" w:tplc="85254511">
      <w:start w:val="1"/>
      <w:numFmt w:val="decimal"/>
      <w:lvlText w:val="%1."/>
      <w:lvlJc w:val="left"/>
      <w:pPr>
        <w:ind w:left="720" w:hanging="360"/>
      </w:pPr>
    </w:lvl>
    <w:lvl w:ilvl="1" w:tplc="85254511" w:tentative="1">
      <w:start w:val="1"/>
      <w:numFmt w:val="lowerLetter"/>
      <w:lvlText w:val="%2."/>
      <w:lvlJc w:val="left"/>
      <w:pPr>
        <w:ind w:left="1440" w:hanging="360"/>
      </w:pPr>
    </w:lvl>
    <w:lvl w:ilvl="2" w:tplc="85254511" w:tentative="1">
      <w:start w:val="1"/>
      <w:numFmt w:val="lowerRoman"/>
      <w:lvlText w:val="%3."/>
      <w:lvlJc w:val="right"/>
      <w:pPr>
        <w:ind w:left="2160" w:hanging="180"/>
      </w:pPr>
    </w:lvl>
    <w:lvl w:ilvl="3" w:tplc="85254511" w:tentative="1">
      <w:start w:val="1"/>
      <w:numFmt w:val="decimal"/>
      <w:lvlText w:val="%4."/>
      <w:lvlJc w:val="left"/>
      <w:pPr>
        <w:ind w:left="2880" w:hanging="360"/>
      </w:pPr>
    </w:lvl>
    <w:lvl w:ilvl="4" w:tplc="85254511" w:tentative="1">
      <w:start w:val="1"/>
      <w:numFmt w:val="lowerLetter"/>
      <w:lvlText w:val="%5."/>
      <w:lvlJc w:val="left"/>
      <w:pPr>
        <w:ind w:left="3600" w:hanging="360"/>
      </w:pPr>
    </w:lvl>
    <w:lvl w:ilvl="5" w:tplc="85254511" w:tentative="1">
      <w:start w:val="1"/>
      <w:numFmt w:val="lowerRoman"/>
      <w:lvlText w:val="%6."/>
      <w:lvlJc w:val="right"/>
      <w:pPr>
        <w:ind w:left="4320" w:hanging="180"/>
      </w:pPr>
    </w:lvl>
    <w:lvl w:ilvl="6" w:tplc="85254511" w:tentative="1">
      <w:start w:val="1"/>
      <w:numFmt w:val="decimal"/>
      <w:lvlText w:val="%7."/>
      <w:lvlJc w:val="left"/>
      <w:pPr>
        <w:ind w:left="5040" w:hanging="360"/>
      </w:pPr>
    </w:lvl>
    <w:lvl w:ilvl="7" w:tplc="85254511" w:tentative="1">
      <w:start w:val="1"/>
      <w:numFmt w:val="lowerLetter"/>
      <w:lvlText w:val="%8."/>
      <w:lvlJc w:val="left"/>
      <w:pPr>
        <w:ind w:left="5760" w:hanging="360"/>
      </w:pPr>
    </w:lvl>
    <w:lvl w:ilvl="8" w:tplc="85254511" w:tentative="1">
      <w:start w:val="1"/>
      <w:numFmt w:val="lowerRoman"/>
      <w:lvlText w:val="%9."/>
      <w:lvlJc w:val="right"/>
      <w:pPr>
        <w:ind w:left="6480" w:hanging="180"/>
      </w:pPr>
    </w:lvl>
  </w:abstractNum>
  <w:abstractNum w:abstractNumId="35225006">
    <w:multiLevelType w:val="hybridMultilevel"/>
    <w:lvl w:ilvl="0" w:tplc="189367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225006">
    <w:abstractNumId w:val="35225006"/>
  </w:num>
  <w:num w:numId="35225007">
    <w:abstractNumId w:val="3522500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16262075" Type="http://schemas.microsoft.com/office/2011/relationships/commentsExtended" Target="commentsExtended.xml"/><Relationship Id="rId573727579" Type="http://schemas.microsoft.com/office/2011/relationships/people" Target="people.xml"/><Relationship Id="rId1571665a9923d0a3a" Type="http://schemas.openxmlformats.org/officeDocument/2006/relationships/hyperlink" Target="https://gd.eppo.int/taxon/ANOLCN/" TargetMode="External"/><Relationship Id="rId9306665a9923d0aa6" Type="http://schemas.openxmlformats.org/officeDocument/2006/relationships/hyperlink" Target="https://gd.eppo.int/taxon/ANOLCN/categorization" TargetMode="External"/><Relationship Id="rId3027665a9923d148e" Type="http://schemas.openxmlformats.org/officeDocument/2006/relationships/hyperlink" Target="https://gd.eppo.int/taxon/ANOLCN/photos" TargetMode="External"/><Relationship Id="rId1781665a9923d54fd" Type="http://schemas.openxmlformats.org/officeDocument/2006/relationships/hyperlink" Target="https://www.cabi.org/isc/datasheet/5556" TargetMode="External"/><Relationship Id="rId3835665a9923d5e33" Type="http://schemas.openxmlformats.org/officeDocument/2006/relationships/hyperlink" Target="https://gd.eppo.int/taxon/ANOLCN/reporting" TargetMode="External"/><Relationship Id="rId1298665a9923d680a" Type="http://schemas.openxmlformats.org/officeDocument/2006/relationships/hyperlink" Target="https://www.eppo.int/ACTIVITIES/plant_quarantine/shortnotes_qps/anoplophora_chinensis_eradication" TargetMode="External"/><Relationship Id="rId4228665a9923d6a1e" Type="http://schemas.openxmlformats.org/officeDocument/2006/relationships/hyperlink" Target="https://www.regione.lombardia.it/wps/portal/istituzionale/HP/DettaglioRedazionale/servizi-e-informazioni/Imprese/Imprese-agricole/servizio-fitosanitario-regionale/organismi-nocivi/anoplophora-chinensis/anoplophora-chinensis-glabripennis" TargetMode="External"/><Relationship Id="rId9721665a9923d6a60" Type="http://schemas.openxmlformats.org/officeDocument/2006/relationships/hyperlink" Target="https://www.regione.lombardia.it/wps/portal/istituzionale/HP/DettaglioRedazionale/servizi-e-informazioni/cittadini/agricoltura/servizio-fitosanitario-regionale/app-fito-detective/app-fito-detective" TargetMode="External"/><Relationship Id="rId7538665a9923d6c5a" Type="http://schemas.openxmlformats.org/officeDocument/2006/relationships/hyperlink" Target="https://edepot.wur.nl/117610" TargetMode="External"/><Relationship Id="rId9506665a9923d6f4a" Type="http://schemas.openxmlformats.org/officeDocument/2006/relationships/hyperlink" Target="https://gd.eppo.int" TargetMode="External"/><Relationship Id="rId3104665a9923d1320" Type="http://schemas.openxmlformats.org/officeDocument/2006/relationships/image" Target="media/imgrId3104665a9923d1320.jpg"/><Relationship Id="rId8200665a9923d3f87" Type="http://schemas.openxmlformats.org/officeDocument/2006/relationships/image" Target="media/imgrId8200665a9923d3f87.jpg"/><Relationship Id="rId8840665a9923d7443" Type="http://schemas.openxmlformats.org/officeDocument/2006/relationships/image" Target="media/imgrId8840665a9923d744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