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Agrilus bilineatus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Agrilus bilineatus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(Weber)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Buprestidae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Agrilus aurolineatus</w:t>
            </w:r>
            <w:r>
              <w:rPr>
                <w:rFonts w:ascii="Calibri" w:hAnsi="Calibri" w:eastAsia="Calibri" w:cs="Calibri"/>
                <w:color w:val="000000"/>
                <w:position w:val="-3"/>
                <w:sz w:val="22"/>
                <w:szCs w:val="22"/>
              </w:rPr>
              <w:t xml:space="preserve"> Gory, </w:t>
            </w:r>
            <w:r>
              <w:rPr>
                <w:rFonts w:ascii="Calibri" w:hAnsi="Calibri" w:eastAsia="Calibri" w:cs="Calibri"/>
                <w:i/>
                <w:iCs/>
                <w:color w:val="000000"/>
                <w:position w:val="-3"/>
                <w:sz w:val="22"/>
                <w:szCs w:val="22"/>
              </w:rPr>
              <w:t xml:space="preserve">Agrilus bivittatus</w:t>
            </w:r>
            <w:r>
              <w:rPr>
                <w:rFonts w:ascii="Calibri" w:hAnsi="Calibri" w:eastAsia="Calibri" w:cs="Calibri"/>
                <w:color w:val="000000"/>
                <w:position w:val="-3"/>
                <w:sz w:val="22"/>
                <w:szCs w:val="22"/>
              </w:rPr>
              <w:t xml:space="preserve"> Kirby, </w:t>
            </w:r>
            <w:r>
              <w:rPr>
                <w:rFonts w:ascii="Calibri" w:hAnsi="Calibri" w:eastAsia="Calibri" w:cs="Calibri"/>
                <w:i/>
                <w:iCs/>
                <w:color w:val="000000"/>
                <w:position w:val="-3"/>
                <w:sz w:val="22"/>
                <w:szCs w:val="22"/>
              </w:rPr>
              <w:t xml:space="preserve">Agrilus flavolineatus</w:t>
            </w:r>
            <w:r>
              <w:rPr>
                <w:rFonts w:ascii="Calibri" w:hAnsi="Calibri" w:eastAsia="Calibri" w:cs="Calibri"/>
                <w:color w:val="000000"/>
                <w:position w:val="-3"/>
                <w:sz w:val="22"/>
                <w:szCs w:val="22"/>
              </w:rPr>
              <w:t xml:space="preserve"> Mannerheim, </w:t>
            </w:r>
            <w:r>
              <w:rPr>
                <w:rFonts w:ascii="Calibri" w:hAnsi="Calibri" w:eastAsia="Calibri" w:cs="Calibri"/>
                <w:i/>
                <w:iCs/>
                <w:color w:val="000000"/>
                <w:position w:val="-3"/>
                <w:sz w:val="22"/>
                <w:szCs w:val="22"/>
              </w:rPr>
              <w:t xml:space="preserve">Buprestis bilineata</w:t>
            </w:r>
            <w:r>
              <w:rPr>
                <w:rFonts w:ascii="Calibri" w:hAnsi="Calibri" w:eastAsia="Calibri" w:cs="Calibri"/>
                <w:color w:val="000000"/>
                <w:position w:val="-3"/>
                <w:sz w:val="22"/>
                <w:szCs w:val="22"/>
              </w:rPr>
              <w:t xml:space="preserve"> Weber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two-lined chestnut borer, twolined chestnut borer (US)</w:t>
            </w:r>
            <w:hyperlink r:id="rId8172664b36be5c1d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 Alert list (formerly)</w:t>
            </w:r>
            <w:hyperlink r:id="rId1166664b36be5c21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AGRLBL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309509" name="name7161664b36be5ca03" descr="7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07.jpg"/>
                          <pic:cNvPicPr/>
                        </pic:nvPicPr>
                        <pic:blipFill>
                          <a:blip r:embed="rId2192664b36be5ca01" cstate="print"/>
                          <a:stretch>
                            <a:fillRect/>
                          </a:stretch>
                        </pic:blipFill>
                        <pic:spPr>
                          <a:xfrm>
                            <a:off x="0" y="0"/>
                            <a:ext cx="2160000" cy="1281600"/>
                          </a:xfrm>
                          <a:prstGeom prst="rect">
                            <a:avLst/>
                          </a:prstGeom>
                          <a:ln w="0">
                            <a:noFill/>
                          </a:ln>
                        </pic:spPr>
                      </pic:pic>
                    </a:graphicData>
                  </a:graphic>
                </wp:inline>
              </w:drawing>
            </w:r>
            <w:hyperlink r:id="rId7476664b36be5cb2f"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attacks </w:t>
      </w:r>
      <w:r>
        <w:rPr>
          <w:rFonts w:ascii="Calibri" w:hAnsi="Calibri" w:eastAsia="Calibri" w:cs="Calibri"/>
          <w:i/>
          <w:iCs/>
          <w:color w:val="000000"/>
          <w:sz w:val="22"/>
          <w:szCs w:val="22"/>
        </w:rPr>
        <w:t xml:space="preserve">Castanea dentata</w:t>
      </w:r>
      <w:r>
        <w:rPr>
          <w:rFonts w:ascii="Calibri" w:hAnsi="Calibri" w:eastAsia="Calibri" w:cs="Calibri"/>
          <w:color w:val="000000"/>
          <w:sz w:val="22"/>
          <w:szCs w:val="22"/>
        </w:rPr>
        <w:t xml:space="preserve"> (Fagaceae) and numerous species of North American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species (Fagaceae), including </w:t>
      </w:r>
      <w:r>
        <w:rPr>
          <w:rFonts w:ascii="Calibri" w:hAnsi="Calibri" w:eastAsia="Calibri" w:cs="Calibri"/>
          <w:i/>
          <w:iCs/>
          <w:color w:val="000000"/>
          <w:sz w:val="22"/>
          <w:szCs w:val="22"/>
        </w:rPr>
        <w:t xml:space="preserve">Q. alba, </w:t>
      </w:r>
      <w:r>
        <w:rPr>
          <w:rFonts w:ascii="Calibri" w:hAnsi="Calibri" w:eastAsia="Calibri" w:cs="Calibri"/>
          <w:i/>
          <w:iCs/>
          <w:color w:val="000000"/>
          <w:sz w:val="22"/>
          <w:szCs w:val="22"/>
        </w:rPr>
        <w:t xml:space="preserve">Q. coccinea, Q. ellipsoidalis, Q. fusiformis, Q. lyrata, </w:t>
      </w:r>
      <w:r>
        <w:rPr>
          <w:rFonts w:ascii="Calibri" w:hAnsi="Calibri" w:eastAsia="Calibri" w:cs="Calibri"/>
          <w:i/>
          <w:iCs/>
          <w:color w:val="000000"/>
          <w:sz w:val="22"/>
          <w:szCs w:val="22"/>
        </w:rPr>
        <w:t xml:space="preserve">Q. macrocarpa, Q. marilandica,, Q. michauxii, </w:t>
      </w:r>
      <w:r>
        <w:rPr>
          <w:rFonts w:ascii="Calibri" w:hAnsi="Calibri" w:eastAsia="Calibri" w:cs="Calibri"/>
          <w:i/>
          <w:iCs/>
          <w:color w:val="000000"/>
          <w:sz w:val="22"/>
          <w:szCs w:val="22"/>
        </w:rPr>
        <w:t xml:space="preserve">Q. muehlenbergii, Q. nigra, Q. palustris, Q. prinus </w:t>
      </w:r>
      <w:r>
        <w:rPr>
          <w:rFonts w:ascii="Calibri" w:hAnsi="Calibri" w:eastAsia="Calibri" w:cs="Calibri"/>
          <w:i/>
          <w:iCs/>
          <w:color w:val="000000"/>
          <w:sz w:val="22"/>
          <w:szCs w:val="22"/>
        </w:rPr>
        <w:t xml:space="preserve">(= Q. montana), Q. robur, Q. rubra, Q. stellata, Q. texana </w:t>
      </w:r>
      <w:r>
        <w:rPr>
          <w:rFonts w:ascii="Calibri" w:hAnsi="Calibri" w:eastAsia="Calibri" w:cs="Calibri"/>
          <w:i/>
          <w:iCs/>
          <w:color w:val="000000"/>
          <w:sz w:val="22"/>
          <w:szCs w:val="22"/>
        </w:rPr>
        <w:t xml:space="preserve">(= Q. nuttallii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Q. shumardii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texana), Q. velutina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Q. virginiana </w:t>
      </w:r>
      <w:r>
        <w:rPr>
          <w:rFonts w:ascii="Calibri" w:hAnsi="Calibri" w:eastAsia="Calibri" w:cs="Calibri"/>
          <w:color w:val="000000"/>
          <w:sz w:val="22"/>
          <w:szCs w:val="22"/>
        </w:rPr>
        <w:t xml:space="preserve">(Chittenden, 1900; Chapman, 1915; Fisher, 1928; Haack, 1986; Lewis, 1987; Haack &amp; Accavatti, 1992; Solomon, 1995; Nelson &amp; Hespenheide, 1998; Nelson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Jendek &amp; Poláková, 2014; Petrice &amp; Haack, 2014; EPPO, 2019). Complete development of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in the European species,</w:t>
      </w:r>
      <w:r>
        <w:rPr>
          <w:rFonts w:ascii="Calibri" w:hAnsi="Calibri" w:eastAsia="Calibri" w:cs="Calibri"/>
          <w:i/>
          <w:iCs/>
          <w:color w:val="000000"/>
          <w:sz w:val="22"/>
          <w:szCs w:val="22"/>
        </w:rPr>
        <w:t xml:space="preserve"> Q. robur </w:t>
      </w:r>
      <w:r>
        <w:rPr>
          <w:rFonts w:ascii="Calibri" w:hAnsi="Calibri" w:eastAsia="Calibri" w:cs="Calibri"/>
          <w:color w:val="000000"/>
          <w:sz w:val="22"/>
          <w:szCs w:val="22"/>
        </w:rPr>
        <w:t xml:space="preserve">(pedunculate oak), has also been documented in Michigan (Haack,1986; Petrice &amp; Haack, 2014).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ellipsoidalis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fusiformis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lyrata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marilandica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michauxii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muehlenbergii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prinus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stellata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texana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velutina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bilineatus</w:t>
      </w:r>
      <w:r>
        <w:rPr>
          <w:rFonts w:ascii="Calibri" w:hAnsi="Calibri" w:eastAsia="Calibri" w:cs="Calibri"/>
          <w:color w:val="000000"/>
          <w:sz w:val="24"/>
          <w:szCs w:val="24"/>
        </w:rPr>
        <w:t xml:space="preserve"> is endemic to eastern North </w:t>
      </w:r>
      <w:r>
        <w:rPr>
          <w:rFonts w:ascii="Calibri" w:hAnsi="Calibri" w:eastAsia="Calibri" w:cs="Calibri"/>
          <w:color w:val="000000"/>
          <w:sz w:val="22"/>
          <w:szCs w:val="22"/>
        </w:rPr>
        <w:t xml:space="preserve">America in regions where chestnut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and oak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are native. The range of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extends from New Brunswick westward to Manitoba in Canada, southward to Texas and eastward to Florida (Horn, 1891; Hopkins, 1894; Chapman, 1915; Fisher, 1928; Haack, 1980; Nelson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1981; Dunn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1986a; Bright, 1987; Nelson, 1987; Nelson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Fauske, 2018; EPPO, 2019; TFPR, 2011; Webster &amp; DeMerchant, 2012).</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adults have been collected in Turkey in two separate years (2013, 2016) and at two locations over 200 km apart (near and to the east of Istanbul) (Jendek, 2016; Hızal &amp; Arslangündogdu, 2018).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is considered to be established in Turkey (EPPO, 2019).</w:t>
      </w:r>
    </w:p>
    <w:p>
      <w:r>
        <w:drawing>
          <wp:inline distT="0" distB="0" distL="0" distR="0">
            <wp:extent cx="6120000" cy="3067200"/>
            <wp:docPr id="13707644" name="name3976664b36be5dbd1" descr="AGRLB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LBL_distribution_map.jpg"/>
                    <pic:cNvPicPr/>
                  </pic:nvPicPr>
                  <pic:blipFill>
                    <a:blip r:embed="rId9325664b36be5dbc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Türkiye</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(Manitoba, New Brunswick, Nova Scotia, Ontario, Québec), United States of America (Alabama, Arkansas, Colorado, Connecticut, Delaware, Florida, Georgia, Illinois, Indiana, Iowa, Kansas, Kentucky, Louisiana, Maine, Maryland, Massachusetts, Michigan, Minnesota, Mississippi, Missouri, Nebraska, New Hampshire, New Jersey, New York, North Carolina, North Dakota, Ohio, Oklahoma, Pennsylvania, Rhode Island, South Carolina, South Dakota, Tennessee, Texas, Vermont,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Throughout its range,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usually completes its life cycle in a single year, although some individuals can require 2 years (Cote &amp; Allen, 1980), which may be attributed to slower larval developmental rates in vigorous hosts, populations that occur where summers are cool and short, or individuals that develop from eggs that are laid in late summer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Last-instar larvae need to experience an extended cold period before they will pupate and transform to adults, as is common in many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species that develop in temperate latitudes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Reed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After emerging, adults fly to the crowns of trees and feed on foliage (Chapman, 1915; Dunbar &amp; Stephens, 1976). Such feeding is required for adults to become sexually mature.</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mate on the trunks and branches of host trees, as well as nearby plants and wood piles (Chapman, 1915). In a field study,</w:t>
      </w:r>
      <w:r>
        <w:rPr>
          <w:rFonts w:ascii="Calibri" w:hAnsi="Calibri" w:eastAsia="Calibri" w:cs="Calibri"/>
          <w:i/>
          <w:iCs/>
          <w:color w:val="000000"/>
          <w:sz w:val="22"/>
          <w:szCs w:val="22"/>
        </w:rPr>
        <w:t xml:space="preserve"> A. bilineatus</w:t>
      </w:r>
      <w:r>
        <w:rPr>
          <w:rFonts w:ascii="Calibri" w:hAnsi="Calibri" w:eastAsia="Calibri" w:cs="Calibri"/>
          <w:color w:val="000000"/>
          <w:sz w:val="22"/>
          <w:szCs w:val="22"/>
        </w:rPr>
        <w:t xml:space="preserve"> males were attracted to caged females (Dunn &amp; Potter, 1988), suggesting a pheromone was involved but none has yet been discovered. In the closely related species</w:t>
      </w:r>
      <w:r>
        <w:rPr>
          <w:rFonts w:ascii="Calibri" w:hAnsi="Calibri" w:eastAsia="Calibri" w:cs="Calibri"/>
          <w:i/>
          <w:iCs/>
          <w:color w:val="000000"/>
          <w:sz w:val="22"/>
          <w:szCs w:val="22"/>
        </w:rPr>
        <w:t xml:space="preserve"> A. planipennis,</w:t>
      </w:r>
      <w:r>
        <w:rPr>
          <w:rFonts w:ascii="Calibri" w:hAnsi="Calibri" w:eastAsia="Calibri" w:cs="Calibri"/>
          <w:color w:val="000000"/>
          <w:sz w:val="22"/>
          <w:szCs w:val="22"/>
        </w:rPr>
        <w:t xml:space="preserve"> males were found to use contact and short-range pheromones in addition to visual cues for locating females (Lelito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Poland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deposit eggs in bark cracks and crevices, often singularly or sometimes in groups  (Chapman, 1915; Haack &amp; Benjamin, 1982). Females secrete a substance over the eggs (Chapman, 1915), which probably aids in cementing the eggs to the host and reducing desiccation (Chamorro</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Females oviposit on different sized host material from the base of the tree trunk to branches as small as 2–4 cm in diameter (Chapman, 1915). </w:t>
      </w:r>
      <w:r>
        <w:rPr>
          <w:rFonts w:ascii="Calibri" w:hAnsi="Calibri" w:eastAsia="Calibri" w:cs="Calibri"/>
          <w:i/>
          <w:iCs/>
          <w:color w:val="000000"/>
          <w:sz w:val="22"/>
          <w:szCs w:val="22"/>
        </w:rPr>
        <w:t xml:space="preserve">A. bilineatus </w:t>
      </w:r>
      <w:r>
        <w:rPr>
          <w:rFonts w:ascii="Calibri" w:hAnsi="Calibri" w:eastAsia="Calibri" w:cs="Calibri"/>
          <w:color w:val="000000"/>
          <w:sz w:val="22"/>
          <w:szCs w:val="22"/>
        </w:rPr>
        <w:t xml:space="preserve">larvae usually hatch from eggs in 10–14 days (Chapman, 1915; Dunbar &amp; Stephens, 1976) and immediately tunnel into the bark. First-instar larvae enter the bark directly from the side of the egg attached to the bark, and therefore are never exposed on the bark surface (Chapman, 1915). Larvae tunnel in the cambial region, scoring both the inner bark (phloem) and outer sapwood (xylem). Larval galleries tend to meander or form a zig-zag pattern, with early instars (first and second) tending to tunnel in any direction, but late instars (third and fourth) tending to tunnel across the wood grain (Chapman, 1915). The larval galleries are packed with frass (Haack, 1985). Larvae typically tunnel into the outer sapwood or the outer bark to moult and then return to the cambial region to feed (Chapman, 1915). Total gallery length for all instars can extend more than 80 centimetres (Chapman, 1915).</w:t>
      </w:r>
    </w:p>
    <w:p>
      <w:pPr>
        <w:widowControl w:val="on"/>
        <w:pBdr/>
        <w:spacing w:before="220" w:after="220" w:line="240" w:lineRule="auto"/>
        <w:ind w:left="0" w:right="0"/>
        <w:jc w:val="both"/>
      </w:pPr>
      <w:r>
        <w:rPr>
          <w:rFonts w:ascii="Calibri" w:hAnsi="Calibri" w:eastAsia="Calibri" w:cs="Calibri"/>
          <w:color w:val="000000"/>
          <w:sz w:val="22"/>
          <w:szCs w:val="22"/>
        </w:rPr>
        <w:t xml:space="preserve">Starting in late summer, mature fourth (last) instar larvae prepare individual pupal cells in either the outer bark, if the bark is sufficiently thick, or the outer sapwood (Chapman, 1915; Petrice &amp; Haack, 2014). Before constructing the pupal cell, larvae extend their gallery close to the outer bark surface, which creates a pathway that the future adult will enlarge with its mandibles and use to exit the tree the following year (Chamorro</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The pupal cell is about half the length of the mature larva’s body. The larva creates the cell by tunnelling so that its head remains close to the ventral side of its body and continues until the head nears the tip of the abdomen, thus situating itself in a J-shaped position to overwinter. In Wisconsin, some larvae begin to construct pupal cells in August, while by October nearly all fourth-instar larvae have constructed pupal cells (Haack &amp; Benjamin, 1982). Larvae that are still early instars in autumn will remain in the cambial region during winter. These larvae resume feeding the following spring and summer, and construct their pupal cell after they are mature, thus overwintering twice before emergence. Immature larvae that overwinter in the cambial region often suffer higher mortality than those that overwinter in pupal cells (Dunbar &amp; Stephens, 1976). Within individual trees, larvae feeding in the upper branches and crown tend to construct pupal cells earlier than those in the trunk (Haack &amp; Benjamin, 1982).</w:t>
      </w:r>
    </w:p>
    <w:p>
      <w:pPr>
        <w:widowControl w:val="on"/>
        <w:pBdr/>
        <w:spacing w:before="220" w:after="220" w:line="240" w:lineRule="auto"/>
        <w:ind w:left="0" w:right="0"/>
        <w:jc w:val="both"/>
      </w:pPr>
      <w:r>
        <w:rPr>
          <w:rFonts w:ascii="Calibri" w:hAnsi="Calibri" w:eastAsia="Calibri" w:cs="Calibri"/>
          <w:color w:val="000000"/>
          <w:sz w:val="22"/>
          <w:szCs w:val="22"/>
        </w:rPr>
        <w:t xml:space="preserve">Pupation occurs in spring and early summer. Within the pupal cell, the J-shaped mature larva becomes a prepupa by contracting its body to about half its former length and straightening out with its head pointing outward towards the bark surface (Chapman, 1915). The prepupa then moults to the pupal stage. In Wisconsin, pupation occurs from late April into July, peaking in May (Haack &amp; Benjamin, 1982). Pupation was reported to last an average of 10 days indoors by Chapman (1915) and an average of 12 days at 24°C or 9 days at 30°C by Haack &amp; Benjamin (1982).</w:t>
      </w:r>
    </w:p>
    <w:p>
      <w:pPr>
        <w:widowControl w:val="on"/>
        <w:pBdr/>
        <w:spacing w:before="220" w:after="220" w:line="240" w:lineRule="auto"/>
        <w:ind w:left="0" w:right="0"/>
        <w:jc w:val="both"/>
      </w:pPr>
      <w:r>
        <w:rPr>
          <w:rFonts w:ascii="Calibri" w:hAnsi="Calibri" w:eastAsia="Calibri" w:cs="Calibri"/>
          <w:color w:val="000000"/>
          <w:sz w:val="22"/>
          <w:szCs w:val="22"/>
        </w:rPr>
        <w:t xml:space="preserve">A new adult remains generally motionless within its pupal cell for the first 2 days after eclosion, allowing time for its cuticle to harden, and then it begins to enlarge the exit tunnel it initiated earlier as a larva and finally emerges from the tree in approximately 3 days at 24°C or 2 days at 30°C (Haack &amp; Benjamin, 1982). The exit hole is about 5 mm wide, D-shaped as in a semicircle, with the flat side of the D aligning with the dorsal side of the adult’s body (Haack &amp; Acciavatti, 1992). Adults of both sexes live 8–28 days at temperature conditions ranging from 20°C to 30°C. Adult females appear to oviposit preferentially on stressed trees, such as girdled trees (Dunbar &amp; Stephens, 1976; Cote &amp; Allen, 1980; Haack &amp; Benjamin, 1982; Dunn et al., 1986a), perhaps attracted to the volatile chemical compounds released by the trees (Dunn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Signs and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symptom of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infestation is wilted foliage on scattered crown branches in late summer (Haack &amp; Acciavatti, 1992). This corresponds to the period when most larvae are third and fourth instars whose feeding galleries score deeper into the xylem tissue and ultimately girdle the tree (Haack &amp; Benjamin, 1982). </w:t>
      </w:r>
      <w:r>
        <w:rPr>
          <w:rFonts w:ascii="Calibri" w:hAnsi="Calibri" w:eastAsia="Calibri" w:cs="Calibri"/>
          <w:i/>
          <w:iCs/>
          <w:color w:val="000000"/>
          <w:sz w:val="22"/>
          <w:szCs w:val="22"/>
        </w:rPr>
        <w:t xml:space="preserve">Castanea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have ring-porous xylem. Water is conducted primarily in the outermost annual ring of xylem in ring-porous trees, making them highly susceptible to girdling by cambial feeding insects. The wilted foliage turns brown and remains attached for several weeks or even months. Such branches will not produce new foliage in subsequent years. Tree death can occur in a single year, especially during </w:t>
      </w:r>
      <w:r>
        <w:rPr>
          <w:rFonts w:ascii="Calibri" w:hAnsi="Calibri" w:eastAsia="Calibri" w:cs="Calibri"/>
          <w:i/>
          <w:iCs/>
          <w:color w:val="000000"/>
          <w:sz w:val="22"/>
          <w:szCs w:val="22"/>
        </w:rPr>
        <w:t xml:space="preserve">A. bilineatus </w:t>
      </w:r>
      <w:r>
        <w:rPr>
          <w:rFonts w:ascii="Calibri" w:hAnsi="Calibri" w:eastAsia="Calibri" w:cs="Calibri"/>
          <w:color w:val="000000"/>
          <w:sz w:val="22"/>
          <w:szCs w:val="22"/>
        </w:rPr>
        <w:t xml:space="preserve">outbreaks, but tree death over a 2–4 -year period is more common. Infestation usually begins in the crown branches and then moves downward along the lower trunk in subsequent years (Haack &amp; Benjamin, 1982;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There is a succession of other bark- and wood-infesting insects that colonize portions of trees previously infested by </w:t>
      </w:r>
      <w:r>
        <w:rPr>
          <w:rFonts w:ascii="Calibri" w:hAnsi="Calibri" w:eastAsia="Calibri" w:cs="Calibri"/>
          <w:i/>
          <w:iCs/>
          <w:color w:val="000000"/>
          <w:sz w:val="22"/>
          <w:szCs w:val="22"/>
        </w:rPr>
        <w:t xml:space="preserve">A. bilineatus </w:t>
      </w:r>
      <w:r>
        <w:rPr>
          <w:rFonts w:ascii="Calibri" w:hAnsi="Calibri" w:eastAsia="Calibri" w:cs="Calibri"/>
          <w:color w:val="000000"/>
          <w:sz w:val="22"/>
          <w:szCs w:val="22"/>
        </w:rPr>
        <w:t xml:space="preserve">(Haack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signs of infestation are the D-shaped exit holes present on the bark surface that adults construct as they chew through the bark during emergence and the frass-packed meandering galleries that larvae construct in the cambial region between the bark and sapwood (Chapman, 1915; Haack &amp; Acciavatti, 1992). Development of ridges or swelling on the bark surface as a result of callus tissue developing over the larval galleries occasionally occurs on thin-barked trees, especially on branches, but less so on the trunks. Signs of adult feeding on the margin of the leaves may be noticeable in mass infestation.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Trapping</w:t>
      </w:r>
    </w:p>
    <w:p>
      <w:pPr>
        <w:widowControl w:val="on"/>
        <w:pBdr/>
        <w:spacing w:before="220" w:after="220" w:line="240" w:lineRule="auto"/>
        <w:ind w:left="0" w:right="0"/>
        <w:jc w:val="both"/>
      </w:pPr>
      <w:r>
        <w:rPr>
          <w:rFonts w:ascii="Calibri" w:hAnsi="Calibri" w:eastAsia="Calibri" w:cs="Calibri"/>
          <w:color w:val="000000"/>
          <w:sz w:val="22"/>
          <w:szCs w:val="22"/>
        </w:rPr>
        <w:t xml:space="preserve">Applying adhesive to plastic bands wrapped around the lower trunk of girdled host trees has been used to capture flying </w:t>
      </w:r>
      <w:r>
        <w:rPr>
          <w:rFonts w:ascii="Calibri" w:hAnsi="Calibri" w:eastAsia="Calibri" w:cs="Calibri"/>
          <w:i/>
          <w:iCs/>
          <w:color w:val="000000"/>
          <w:sz w:val="22"/>
          <w:szCs w:val="22"/>
        </w:rPr>
        <w:t xml:space="preserve">A. bilineatus </w:t>
      </w:r>
      <w:r>
        <w:rPr>
          <w:rFonts w:ascii="Calibri" w:hAnsi="Calibri" w:eastAsia="Calibri" w:cs="Calibri"/>
          <w:color w:val="000000"/>
          <w:sz w:val="22"/>
          <w:szCs w:val="22"/>
        </w:rPr>
        <w:t xml:space="preserve">adults when they land on the stressed trees (Haack &amp; Benjamin, 1982; Dunn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1986a). In addition,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adults have been captured on purple, yellow and green sticky traps (Petrice &amp; Haack, 2014), as well as in green funnel traps coated with fluon to increase slipperiness (Petrice &amp; Haack, 2015). Several species of male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are attracted to dead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or 3D-printed adults when used as decoys and placed on host plants (Lelito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Domingue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of</w:t>
      </w:r>
      <w:r>
        <w:rPr>
          <w:rFonts w:ascii="Calibri" w:hAnsi="Calibri" w:eastAsia="Calibri" w:cs="Calibri"/>
          <w:i/>
          <w:iCs/>
          <w:color w:val="000000"/>
          <w:sz w:val="22"/>
          <w:szCs w:val="22"/>
        </w:rPr>
        <w:t xml:space="preserve"> A. bilineatus</w:t>
      </w:r>
      <w:r>
        <w:rPr>
          <w:rFonts w:ascii="Calibri" w:hAnsi="Calibri" w:eastAsia="Calibri" w:cs="Calibri"/>
          <w:color w:val="000000"/>
          <w:sz w:val="22"/>
          <w:szCs w:val="22"/>
        </w:rPr>
        <w:t xml:space="preserve"> are oval, creamy white when first deposited, becoming reddish and then tan as they mature (Chapman, 1915). Eggs are about 1–1.2 mm long, 0.5–0.8 mm wide and 0.3 mm thick (Chapman, 1915, Miller, unpublished data). Eggs can be laid singly, or in clusters, with most clusters containing 2–4 eggs (Chapman, 1915; Haack &amp; Benjamin, 1982).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elongate, legless, creamy white to yellowish and dorsoventrally flattened. The head is dark brown (Petrice &amp; Haack, 2014). There are ten abdominal segments, with the last segment terminating in two brown urogomphi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Petrice &amp; Haack, 2014). The presence of urogomphi is characteristic of Agrilus larvae (Burke, 1917).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has four larval instars (Chapman, 1915; Cote &amp; Allen, 1980; Haack &amp; Benjamin, 1982). On emergence from the egg, first-instar larvae measure 1–1.5 mm, while fourth instars reach 18–24 mm (Chapman, 1915). Morphological characters of the urogomphi can be used to distinguish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from some other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species, such as the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-infesting European species</w:t>
      </w:r>
      <w:r>
        <w:rPr>
          <w:rFonts w:ascii="Calibri" w:hAnsi="Calibri" w:eastAsia="Calibri" w:cs="Calibri"/>
          <w:i/>
          <w:iCs/>
          <w:color w:val="000000"/>
          <w:sz w:val="22"/>
          <w:szCs w:val="22"/>
        </w:rPr>
        <w:t xml:space="preserve"> A. sulcicollis</w:t>
      </w:r>
      <w:r>
        <w:rPr>
          <w:rFonts w:ascii="Calibri" w:hAnsi="Calibri" w:eastAsia="Calibri" w:cs="Calibri"/>
          <w:color w:val="000000"/>
          <w:sz w:val="22"/>
          <w:szCs w:val="22"/>
        </w:rPr>
        <w:t xml:space="preserve"> (Petrice &amp; Haack, 2014), which has become established in North America.</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color w:val="000000"/>
          <w:sz w:val="22"/>
          <w:szCs w:val="22"/>
        </w:rPr>
        <w:t xml:space="preserve">Pupae, 6–10 mm in length, are creamy white at first, becoming darker as the adult forms (Chapman, 1915).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elongate and can vary from 5 to 13 mm in length depending on the condition of the host in which they developed (Haack &amp; Acciavatti, 1992). The head of</w:t>
      </w:r>
      <w:r>
        <w:rPr>
          <w:rFonts w:ascii="Calibri" w:hAnsi="Calibri" w:eastAsia="Calibri" w:cs="Calibri"/>
          <w:i/>
          <w:iCs/>
          <w:color w:val="000000"/>
          <w:sz w:val="22"/>
          <w:szCs w:val="22"/>
        </w:rPr>
        <w:t xml:space="preserve"> A. bilineatus</w:t>
      </w:r>
      <w:r>
        <w:rPr>
          <w:rFonts w:ascii="Calibri" w:hAnsi="Calibri" w:eastAsia="Calibri" w:cs="Calibri"/>
          <w:color w:val="000000"/>
          <w:sz w:val="22"/>
          <w:szCs w:val="22"/>
        </w:rPr>
        <w:t xml:space="preserve"> is bronzy green in colour while the thorax and abdomen are mostly black with a greenish tinge (Horn, 1891; Fisher, 1928). There is a yellow stripe along each side of the thorax and also along the centre of each elytron. These stripes are very characteristic of this species as no other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species colonizing oaks in Europe has such stripes. The abdomen has a shiny appearance. Females tend to be more robust than males. However, the main distinguishing character between the sexes is presence of a central groove along the second abdominal sternite on males and the lack thereof on females.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dispersal through adult flight has not been studied in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However, adults of a related species,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flew an average of 1.3 km/day, with some flying more than 7 km/day in flight mill studies (Taylor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Bark- and wood-infesting insects, including most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species, can be transported in live plants as well as wood products such as logs, firewood, solid wood packaging, lumber, bark and wood chips (Meurisse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As for live plants, such as nursery stock, no signs of infestation (e.g. exit holes) are obvious until a year or two after oviposition. Similarly, for the wood products,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individuals would be most likely to complete development in items with some bark (e.g. logs and dunnage), given that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larvae feed in the cambial region and pupate in either the outer bark or outer sapwood. For example, during 1984–2008, there were 49 distinct interceptions of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individuals at US ports-of-entry, of which 5 interceptions were in live plants, 30 in dunnage, 13 in crating and pallets, and 1 at large (Haack, unpublished data). In cut firewood stored outdoors, Petrice &amp; Haack (2007) recorded successful adult emergence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for 2 years after infested trees were cut. Although live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life stages could be transported in bark or wood chips (McCullough et al., 2007; Økland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risk of individuals completing development would be greatest for those transported as J-shaped mature larvae, prepupae, pupae and pharate adults because they no longer need to feed before transforming to adults or emerging. Another method of inadvertent human-assisted dispersal, although more relevant for already established insects, is through ‘hitchhiking’ whereby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adults are moved on the outside or inside of vehicles (Buck &amp; Marshall, 2008).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w:t>
      </w:r>
      <w:r>
        <w:rPr>
          <w:rFonts w:ascii="Calibri" w:hAnsi="Calibri" w:eastAsia="Calibri" w:cs="Calibri"/>
          <w:i/>
          <w:iCs/>
          <w:color w:val="000000"/>
          <w:sz w:val="22"/>
          <w:szCs w:val="22"/>
        </w:rPr>
        <w:t xml:space="preserve">A. bilineatus </w:t>
      </w:r>
      <w:r>
        <w:rPr>
          <w:rFonts w:ascii="Calibri" w:hAnsi="Calibri" w:eastAsia="Calibri" w:cs="Calibri"/>
          <w:color w:val="000000"/>
          <w:sz w:val="22"/>
          <w:szCs w:val="22"/>
        </w:rPr>
        <w:t xml:space="preserve">is usually a secondary pest, infesting and killing </w:t>
      </w:r>
      <w:r>
        <w:rPr>
          <w:rFonts w:ascii="Calibri" w:hAnsi="Calibri" w:eastAsia="Calibri" w:cs="Calibri"/>
          <w:i/>
          <w:iCs/>
          <w:color w:val="000000"/>
          <w:sz w:val="22"/>
          <w:szCs w:val="22"/>
        </w:rPr>
        <w:t xml:space="preserve">Castanea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trees weakened by various stress events. For example, widespread </w:t>
      </w:r>
      <w:r>
        <w:rPr>
          <w:rFonts w:ascii="Calibri" w:hAnsi="Calibri" w:eastAsia="Calibri" w:cs="Calibri"/>
          <w:i/>
          <w:iCs/>
          <w:color w:val="000000"/>
          <w:sz w:val="22"/>
          <w:szCs w:val="22"/>
        </w:rPr>
        <w:t xml:space="preserve">A. bilineatus </w:t>
      </w:r>
      <w:r>
        <w:rPr>
          <w:rFonts w:ascii="Calibri" w:hAnsi="Calibri" w:eastAsia="Calibri" w:cs="Calibri"/>
          <w:color w:val="000000"/>
          <w:sz w:val="22"/>
          <w:szCs w:val="22"/>
        </w:rPr>
        <w:t xml:space="preserve">outbreaks have frequently followed periods of severe drought (Hursh &amp; Haasis, 1931; Haack &amp; Benjamin, 1982; Mattson &amp; Haack, 1987; Haack &amp; Mattson, 1989; Millers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and defoliation (Knull, 1932; Baker, 1941; Staley, 1965; Nichols, 1968; Kegg, 1971; Dunbar &amp; Stephens, 1975; Wargo, 1977; Cote &amp; Allen, 1980; Haack, 1985; Millers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1989; Stringer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Muzika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Other outbreaks of </w:t>
      </w:r>
      <w:r>
        <w:rPr>
          <w:rFonts w:ascii="Calibri" w:hAnsi="Calibri" w:eastAsia="Calibri" w:cs="Calibri"/>
          <w:i/>
          <w:iCs/>
          <w:color w:val="000000"/>
          <w:sz w:val="22"/>
          <w:szCs w:val="22"/>
        </w:rPr>
        <w:t xml:space="preserve">A. bilineatus </w:t>
      </w:r>
      <w:r>
        <w:rPr>
          <w:rFonts w:ascii="Calibri" w:hAnsi="Calibri" w:eastAsia="Calibri" w:cs="Calibri"/>
          <w:color w:val="000000"/>
          <w:sz w:val="22"/>
          <w:szCs w:val="22"/>
        </w:rPr>
        <w:t xml:space="preserve">have followed ice storms, hail damage and late spring frost events (Haack, 1985). Individual trees or small groups of trees have also been killed by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in areas where soil compaction has occurred or soil levels have dramatically changed, which can occur during construction in wooded sites (Felt &amp; Bromley, 1932; Haack &amp; Acciavatti, 1992; Koval &amp; Heimann, 1997). Individual outbreaks usually persist for a few years, often subsiding once normal rainfall resumes or defoliator populations fall to endemic levels.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has also been reported to infest host trees that were already infected with various tree pathogens, such as the causal agent of armillaria root rot (</w:t>
      </w:r>
      <w:r>
        <w:rPr>
          <w:rFonts w:ascii="Calibri" w:hAnsi="Calibri" w:eastAsia="Calibri" w:cs="Calibri"/>
          <w:i/>
          <w:iCs/>
          <w:color w:val="000000"/>
          <w:sz w:val="22"/>
          <w:szCs w:val="22"/>
        </w:rPr>
        <w:t xml:space="preserve">Armillaria </w:t>
      </w:r>
      <w:r>
        <w:rPr>
          <w:rFonts w:ascii="Calibri" w:hAnsi="Calibri" w:eastAsia="Calibri" w:cs="Calibri"/>
          <w:color w:val="000000"/>
          <w:sz w:val="22"/>
          <w:szCs w:val="22"/>
        </w:rPr>
        <w:t xml:space="preserve">spp.; Wargo, 1977; Wargo et al., 1983), oak wilt [</w:t>
      </w:r>
      <w:r>
        <w:rPr>
          <w:rFonts w:ascii="Calibri" w:hAnsi="Calibri" w:eastAsia="Calibri" w:cs="Calibri"/>
          <w:i/>
          <w:iCs/>
          <w:color w:val="000000"/>
          <w:sz w:val="22"/>
          <w:szCs w:val="22"/>
        </w:rPr>
        <w:t xml:space="preserve">Bretziella </w:t>
      </w:r>
      <w:r>
        <w:rPr>
          <w:rFonts w:ascii="Calibri" w:hAnsi="Calibri" w:eastAsia="Calibri" w:cs="Calibri"/>
          <w:i/>
          <w:iCs/>
          <w:color w:val="000000"/>
          <w:sz w:val="22"/>
          <w:szCs w:val="22"/>
        </w:rPr>
        <w:t xml:space="preserve">fagacearum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Stambaugh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1955; Lewis, 1987] and chestnut blight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Dunn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Metcalf &amp; Collins, 1911).</w:t>
      </w:r>
    </w:p>
    <w:p>
      <w:pPr>
        <w:widowControl w:val="on"/>
        <w:pBdr/>
        <w:spacing w:before="220" w:after="220" w:line="240" w:lineRule="auto"/>
        <w:ind w:left="0" w:right="0"/>
        <w:jc w:val="both"/>
      </w:pPr>
      <w:r>
        <w:rPr>
          <w:rFonts w:ascii="Calibri" w:hAnsi="Calibri" w:eastAsia="Calibri" w:cs="Calibri"/>
          <w:color w:val="000000"/>
          <w:sz w:val="22"/>
          <w:szCs w:val="22"/>
        </w:rPr>
        <w:t xml:space="preserve">At this time, </w:t>
      </w:r>
      <w:r>
        <w:rPr>
          <w:rFonts w:ascii="Calibri" w:hAnsi="Calibri" w:eastAsia="Calibri" w:cs="Calibri"/>
          <w:i/>
          <w:iCs/>
          <w:color w:val="000000"/>
          <w:sz w:val="22"/>
          <w:szCs w:val="22"/>
        </w:rPr>
        <w:t xml:space="preserve">Q. robur</w:t>
      </w:r>
      <w:r>
        <w:rPr>
          <w:rFonts w:ascii="Calibri" w:hAnsi="Calibri" w:eastAsia="Calibri" w:cs="Calibri"/>
          <w:color w:val="000000"/>
          <w:sz w:val="22"/>
          <w:szCs w:val="22"/>
        </w:rPr>
        <w:t xml:space="preserve"> is the only European tree species known to be highly susceptible to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given that apparently healthy trees were infested and killed in Michigan (Haack, 1986; Haack, unpublished data).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also readily attacked </w:t>
      </w:r>
      <w:r>
        <w:rPr>
          <w:rFonts w:ascii="Calibri" w:hAnsi="Calibri" w:eastAsia="Calibri" w:cs="Calibri"/>
          <w:i/>
          <w:iCs/>
          <w:color w:val="000000"/>
          <w:sz w:val="22"/>
          <w:szCs w:val="22"/>
        </w:rPr>
        <w:t xml:space="preserve">Q. robur </w:t>
      </w:r>
      <w:r>
        <w:rPr>
          <w:rFonts w:ascii="Calibri" w:hAnsi="Calibri" w:eastAsia="Calibri" w:cs="Calibri"/>
          <w:color w:val="000000"/>
          <w:sz w:val="22"/>
          <w:szCs w:val="22"/>
        </w:rPr>
        <w:t xml:space="preserve">trees in Michigan that were artificially girdled to induce stress, and among these trees</w:t>
      </w:r>
      <w:r>
        <w:rPr>
          <w:rFonts w:ascii="Calibri" w:hAnsi="Calibri" w:eastAsia="Calibri" w:cs="Calibri"/>
          <w:i/>
          <w:iCs/>
          <w:color w:val="000000"/>
          <w:sz w:val="22"/>
          <w:szCs w:val="22"/>
        </w:rPr>
        <w:t xml:space="preserve"> A. bilineatus</w:t>
      </w:r>
      <w:r>
        <w:rPr>
          <w:rFonts w:ascii="Calibri" w:hAnsi="Calibri" w:eastAsia="Calibri" w:cs="Calibri"/>
          <w:color w:val="000000"/>
          <w:sz w:val="22"/>
          <w:szCs w:val="22"/>
        </w:rPr>
        <w:t xml:space="preserve"> attacked trees showing less evidence of stress compared to</w:t>
      </w:r>
      <w:r>
        <w:rPr>
          <w:rFonts w:ascii="Calibri" w:hAnsi="Calibri" w:eastAsia="Calibri" w:cs="Calibri"/>
          <w:i/>
          <w:iCs/>
          <w:color w:val="000000"/>
          <w:sz w:val="22"/>
          <w:szCs w:val="22"/>
        </w:rPr>
        <w:t xml:space="preserve"> A. sulcicollis</w:t>
      </w:r>
      <w:r>
        <w:rPr>
          <w:rFonts w:ascii="Calibri" w:hAnsi="Calibri" w:eastAsia="Calibri" w:cs="Calibri"/>
          <w:color w:val="000000"/>
          <w:sz w:val="22"/>
          <w:szCs w:val="22"/>
        </w:rPr>
        <w:t xml:space="preserve"> (Petrice &amp; Haack, 2014). However, the seed sources of the </w:t>
      </w:r>
      <w:r>
        <w:rPr>
          <w:rFonts w:ascii="Calibri" w:hAnsi="Calibri" w:eastAsia="Calibri" w:cs="Calibri"/>
          <w:i/>
          <w:iCs/>
          <w:color w:val="000000"/>
          <w:sz w:val="22"/>
          <w:szCs w:val="22"/>
        </w:rPr>
        <w:t xml:space="preserve">Q. robur </w:t>
      </w:r>
      <w:r>
        <w:rPr>
          <w:rFonts w:ascii="Calibri" w:hAnsi="Calibri" w:eastAsia="Calibri" w:cs="Calibri"/>
          <w:color w:val="000000"/>
          <w:sz w:val="22"/>
          <w:szCs w:val="22"/>
        </w:rPr>
        <w:t xml:space="preserve">trees planted in Michigan likely do not fully represent the total genetic diversity found in Europe. Nevertheless, if European </w:t>
      </w:r>
      <w:r>
        <w:rPr>
          <w:rFonts w:ascii="Calibri" w:hAnsi="Calibri" w:eastAsia="Calibri" w:cs="Calibri"/>
          <w:i/>
          <w:iCs/>
          <w:color w:val="000000"/>
          <w:sz w:val="22"/>
          <w:szCs w:val="22"/>
        </w:rPr>
        <w:t xml:space="preserve">Castanea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species are as susceptible to </w:t>
      </w:r>
      <w:r>
        <w:rPr>
          <w:rFonts w:ascii="Calibri" w:hAnsi="Calibri" w:eastAsia="Calibri" w:cs="Calibri"/>
          <w:i/>
          <w:iCs/>
          <w:color w:val="000000"/>
          <w:sz w:val="22"/>
          <w:szCs w:val="22"/>
        </w:rPr>
        <w:t xml:space="preserve">A. bilineatus </w:t>
      </w:r>
      <w:r>
        <w:rPr>
          <w:rFonts w:ascii="Calibri" w:hAnsi="Calibri" w:eastAsia="Calibri" w:cs="Calibri"/>
          <w:color w:val="000000"/>
          <w:sz w:val="22"/>
          <w:szCs w:val="22"/>
        </w:rPr>
        <w:t xml:space="preserve">as are Eurasian </w:t>
      </w:r>
      <w:r>
        <w:rPr>
          <w:rFonts w:ascii="Calibri" w:hAnsi="Calibri" w:eastAsia="Calibri" w:cs="Calibri"/>
          <w:i/>
          <w:iCs/>
          <w:color w:val="000000"/>
          <w:sz w:val="22"/>
          <w:szCs w:val="22"/>
        </w:rPr>
        <w:t xml:space="preserve">Betula </w:t>
      </w:r>
      <w:r>
        <w:rPr>
          <w:rFonts w:ascii="Calibri" w:hAnsi="Calibri" w:eastAsia="Calibri" w:cs="Calibri"/>
          <w:color w:val="000000"/>
          <w:sz w:val="22"/>
          <w:szCs w:val="22"/>
        </w:rPr>
        <w:t xml:space="preserve">species to the North American borer</w:t>
      </w:r>
      <w:r>
        <w:rPr>
          <w:rFonts w:ascii="Calibri" w:hAnsi="Calibri" w:eastAsia="Calibri" w:cs="Calibri"/>
          <w:i/>
          <w:iCs/>
          <w:color w:val="000000"/>
          <w:sz w:val="22"/>
          <w:szCs w:val="22"/>
        </w:rPr>
        <w:t xml:space="preserve"> A. anxius</w:t>
      </w:r>
      <w:r>
        <w:rPr>
          <w:rFonts w:ascii="Calibri" w:hAnsi="Calibri" w:eastAsia="Calibri" w:cs="Calibri"/>
          <w:color w:val="000000"/>
          <w:sz w:val="22"/>
          <w:szCs w:val="22"/>
        </w:rPr>
        <w:t xml:space="preserve"> (Miller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Nielsen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then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could become a devastating forest pest in Europe given the importance of these tree species (Conedera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Eaton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Alternatively,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could become another important contributing factor to chestnut and oak decline in Europe, joining the many other European borers already present (Evans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Sallé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Reed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When considering control options for borers such as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species, it is important to consider that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beetles typically infest weakened trees preferentially and the first or second years of infestation may go undetected until exit holes are visible on the bark surface after adults emerge. Therefore, efforts to maintain good tree health have been recommended for decades (Chittenden, 1897; Burke, 1910; Haack &amp; Acciavatti, 1992; Koval &amp; Heimann, 1997). Note that the above relationship between successful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infestation and weakened trees is typical for native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infesting native trees, but when an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species encounters a non-coevolved host tree, the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beetles can often infest and kill apparently healthy trees.</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control methods have been recommended to lower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populations. For example, considering cultural control options, sanitation cutting of infested branches or trees prior to adult emergence, followed by burning or chipping, has long been recommended (Hopkins, 1904; Felt, 1924; Dunbar &amp; Stephens, 1976; Haack, 1985; Haack &amp; Acciavatti, 1992; Koval &amp; Heimann, 1997). Alternatively, cutting infested trees early in summer when most larvae are early instars, and simply allowing the logs to remain in the forest, can greatly reduce subsequent adult emergence because the host tissues dry out too quickly to support complete larval development (Haack &amp; Benjamin, 1980a). Cutting logs in shorter sections can hasten desiccation and increase larval mortality. Chipping of infested wood greatly reduces survival of A. bilineatus (Dunbar &amp; Stephens, 1974) and similarly for other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such as </w:t>
      </w:r>
      <w:r>
        <w:rPr>
          <w:rFonts w:ascii="Calibri" w:hAnsi="Calibri" w:eastAsia="Calibri" w:cs="Calibri"/>
          <w:i/>
          <w:iCs/>
          <w:color w:val="000000"/>
          <w:sz w:val="22"/>
          <w:szCs w:val="22"/>
        </w:rPr>
        <w:t xml:space="preserve">A. auroguttatus</w:t>
      </w:r>
      <w:r>
        <w:rPr>
          <w:rFonts w:ascii="Calibri" w:hAnsi="Calibri" w:eastAsia="Calibri" w:cs="Calibri"/>
          <w:color w:val="000000"/>
          <w:sz w:val="22"/>
          <w:szCs w:val="22"/>
        </w:rPr>
        <w:t xml:space="preserve">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(McCullough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insecticides have been used over the past century to protect against or treat host trees with </w:t>
      </w:r>
      <w:r>
        <w:rPr>
          <w:rFonts w:ascii="Calibri" w:hAnsi="Calibri" w:eastAsia="Calibri" w:cs="Calibri"/>
          <w:i/>
          <w:iCs/>
          <w:color w:val="000000"/>
          <w:sz w:val="22"/>
          <w:szCs w:val="22"/>
        </w:rPr>
        <w:t xml:space="preserve">A. bilineatus </w:t>
      </w:r>
      <w:r>
        <w:rPr>
          <w:rFonts w:ascii="Calibri" w:hAnsi="Calibri" w:eastAsia="Calibri" w:cs="Calibri"/>
          <w:color w:val="000000"/>
          <w:sz w:val="22"/>
          <w:szCs w:val="22"/>
        </w:rPr>
        <w:t xml:space="preserve">infestation, many of which are now prohibited. Insecticides can also be used to control defoliating insects, which should help maintain host vigour and thus reduce susceptibility to</w:t>
      </w:r>
      <w:r>
        <w:rPr>
          <w:rFonts w:ascii="Calibri" w:hAnsi="Calibri" w:eastAsia="Calibri" w:cs="Calibri"/>
          <w:i/>
          <w:iCs/>
          <w:color w:val="000000"/>
          <w:sz w:val="22"/>
          <w:szCs w:val="22"/>
        </w:rPr>
        <w:t xml:space="preserve"> A. bilineatus </w:t>
      </w:r>
      <w:r>
        <w:rPr>
          <w:rFonts w:ascii="Calibri" w:hAnsi="Calibri" w:eastAsia="Calibri" w:cs="Calibri"/>
          <w:color w:val="000000"/>
          <w:sz w:val="22"/>
          <w:szCs w:val="22"/>
        </w:rPr>
        <w:t xml:space="preserve">(Felt &amp; Bromley, 1931; Haack &amp; Acciavatti, 1992). Insecticides used to target </w:t>
      </w:r>
      <w:r>
        <w:rPr>
          <w:rFonts w:ascii="Calibri" w:hAnsi="Calibri" w:eastAsia="Calibri" w:cs="Calibri"/>
          <w:i/>
          <w:iCs/>
          <w:color w:val="000000"/>
          <w:sz w:val="22"/>
          <w:szCs w:val="22"/>
        </w:rPr>
        <w:t xml:space="preserve">A. bilineatus </w:t>
      </w:r>
      <w:r>
        <w:rPr>
          <w:rFonts w:ascii="Calibri" w:hAnsi="Calibri" w:eastAsia="Calibri" w:cs="Calibri"/>
          <w:color w:val="000000"/>
          <w:sz w:val="22"/>
          <w:szCs w:val="22"/>
        </w:rPr>
        <w:t xml:space="preserve">have been applied as trunk and foliar sprays for leaf-feeding and egg-laying adults, as well as sprays to the bark surface of trees and logs to target the overwintering stages and adults as they chew through the bark (Felt, 1935; Dunbar &amp; Stephens, 1974, 1976; Haack &amp; Benjamin, 1980b; Herms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Since the early 2000s, several new insecticides (e.g. azadirachtin, emamectin benzoate, clothianidin, dinotefuran and imidacloprid) have been tested in the United States for control of </w:t>
      </w:r>
      <w:r>
        <w:rPr>
          <w:rFonts w:ascii="Calibri" w:hAnsi="Calibri" w:eastAsia="Calibri" w:cs="Calibri"/>
          <w:i/>
          <w:iCs/>
          <w:color w:val="000000"/>
          <w:sz w:val="22"/>
          <w:szCs w:val="22"/>
        </w:rPr>
        <w:t xml:space="preserve">A. auroguttatus </w:t>
      </w:r>
      <w:r>
        <w:rPr>
          <w:rFonts w:ascii="Calibri" w:hAnsi="Calibri" w:eastAsia="Calibri" w:cs="Calibri"/>
          <w:color w:val="000000"/>
          <w:sz w:val="22"/>
          <w:szCs w:val="22"/>
        </w:rPr>
        <w:t xml:space="preserve">(Coleman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2017) and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(Petrice &amp; Haack, 2006; McCullough</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2011; Herms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Smitley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above new classes of insecticides are registered in the United States for other buprestid borers, including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These newer products can be applied as soil drenches, soil injections, trunk injections or cover sprays on the trunk, branches and foliage (Herms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One promising product is emamectin benzoate, a systemic insecticide administered by trunk injection, which has demonstrated 2-year control against both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larvae and leaf-feeding adults (Herms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McCullough</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the above control methods, practices that maintain good tree health, such as fertilization and watering, have long been recommended (Dunbar &amp; Stephens, 1976). Such practices are best suited for urban areas or valuable shade trees. However, at a forest stand level, thinning in advance of gypsy moth (Lymantria dispar) defoliation appeared to lessen subsequent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mortality caused by</w:t>
      </w:r>
      <w:r>
        <w:rPr>
          <w:rFonts w:ascii="Calibri" w:hAnsi="Calibri" w:eastAsia="Calibri" w:cs="Calibri"/>
          <w:i/>
          <w:iCs/>
          <w:color w:val="000000"/>
          <w:sz w:val="22"/>
          <w:szCs w:val="22"/>
        </w:rPr>
        <w:t xml:space="preserve"> A. bilineatus</w:t>
      </w:r>
      <w:r>
        <w:rPr>
          <w:rFonts w:ascii="Calibri" w:hAnsi="Calibri" w:eastAsia="Calibri" w:cs="Calibri"/>
          <w:color w:val="000000"/>
          <w:sz w:val="22"/>
          <w:szCs w:val="22"/>
        </w:rPr>
        <w:t xml:space="preserve"> (Muzika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w:t>
      </w:r>
    </w:p>
    <w:p>
      <w:pPr>
        <w:widowControl w:val="on"/>
        <w:pBdr/>
        <w:spacing w:before="220" w:after="220" w:line="240" w:lineRule="auto"/>
        <w:ind w:left="0" w:right="0"/>
        <w:jc w:val="both"/>
      </w:pPr>
      <w:r>
        <w:rPr>
          <w:rFonts w:ascii="Calibri" w:hAnsi="Calibri" w:eastAsia="Calibri" w:cs="Calibri"/>
          <w:color w:val="000000"/>
          <w:sz w:val="22"/>
          <w:szCs w:val="22"/>
        </w:rPr>
        <w:t xml:space="preserve">The current heat treatment standard in ISPM 15 for wood packaging materials requires that a minimum core temperature of 56°C be maintained for 30 continuous minutes. Haack and Petrice (unpublished data) recorded 99%</w:t>
      </w:r>
      <w:r>
        <w:rPr>
          <w:rFonts w:ascii="Calibri" w:hAnsi="Calibri" w:eastAsia="Calibri" w:cs="Calibri"/>
          <w:i/>
          <w:iCs/>
          <w:color w:val="000000"/>
          <w:sz w:val="22"/>
          <w:szCs w:val="22"/>
        </w:rPr>
        <w:t xml:space="preserve"> A. bilineatus</w:t>
      </w:r>
      <w:r>
        <w:rPr>
          <w:rFonts w:ascii="Calibri" w:hAnsi="Calibri" w:eastAsia="Calibri" w:cs="Calibri"/>
          <w:color w:val="000000"/>
          <w:sz w:val="22"/>
          <w:szCs w:val="22"/>
        </w:rPr>
        <w:t xml:space="preserve"> mortality in oak logs subjected to 56°C for 30 minutes while holding the heating chamber temperature constant at 65°C or less. However, there was 100%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mortality at a core temperature of 56°C when the chamber was held at 70°C or more, or at a core temperature of 60°C no matter the chamber temperature. Given that many commercial kilns run at chamber temperatures exceeding 70°C, complete mortality of</w:t>
      </w:r>
      <w:r>
        <w:rPr>
          <w:rFonts w:ascii="Calibri" w:hAnsi="Calibri" w:eastAsia="Calibri" w:cs="Calibri"/>
          <w:i/>
          <w:iCs/>
          <w:color w:val="000000"/>
          <w:sz w:val="22"/>
          <w:szCs w:val="22"/>
        </w:rPr>
        <w:t xml:space="preserve"> A. bilineatus</w:t>
      </w:r>
      <w:r>
        <w:rPr>
          <w:rFonts w:ascii="Calibri" w:hAnsi="Calibri" w:eastAsia="Calibri" w:cs="Calibri"/>
          <w:color w:val="000000"/>
          <w:sz w:val="22"/>
          <w:szCs w:val="22"/>
        </w:rPr>
        <w:t xml:space="preserve"> life stages would be expected for the vast majority of wood that is heat treated to current ISPM 15 standards.</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parasitoids and predators of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have been reported in the literature. Some of the larval parasitoids include species of </w:t>
      </w:r>
      <w:r>
        <w:rPr>
          <w:rFonts w:ascii="Calibri" w:hAnsi="Calibri" w:eastAsia="Calibri" w:cs="Calibri"/>
          <w:i/>
          <w:iCs/>
          <w:color w:val="000000"/>
          <w:sz w:val="22"/>
          <w:szCs w:val="22"/>
        </w:rPr>
        <w:t xml:space="preserve">Atanycolus </w:t>
      </w:r>
      <w:r>
        <w:rPr>
          <w:rFonts w:ascii="Calibri" w:hAnsi="Calibri" w:eastAsia="Calibri" w:cs="Calibri"/>
          <w:color w:val="000000"/>
          <w:sz w:val="22"/>
          <w:szCs w:val="22"/>
        </w:rPr>
        <w:t xml:space="preserve">(Braconidae), </w:t>
      </w:r>
      <w:r>
        <w:rPr>
          <w:rFonts w:ascii="Calibri" w:hAnsi="Calibri" w:eastAsia="Calibri" w:cs="Calibri"/>
          <w:i/>
          <w:iCs/>
          <w:color w:val="000000"/>
          <w:sz w:val="22"/>
          <w:szCs w:val="22"/>
        </w:rPr>
        <w:t xml:space="preserve">Leluthia </w:t>
      </w:r>
      <w:r>
        <w:rPr>
          <w:rFonts w:ascii="Calibri" w:hAnsi="Calibri" w:eastAsia="Calibri" w:cs="Calibri"/>
          <w:color w:val="000000"/>
          <w:sz w:val="22"/>
          <w:szCs w:val="22"/>
        </w:rPr>
        <w:t xml:space="preserve">(Braconidae), </w:t>
      </w:r>
      <w:r>
        <w:rPr>
          <w:rFonts w:ascii="Calibri" w:hAnsi="Calibri" w:eastAsia="Calibri" w:cs="Calibri"/>
          <w:i/>
          <w:iCs/>
          <w:color w:val="000000"/>
          <w:sz w:val="22"/>
          <w:szCs w:val="22"/>
        </w:rPr>
        <w:t xml:space="preserve">Phasgonophora </w:t>
      </w:r>
      <w:r>
        <w:rPr>
          <w:rFonts w:ascii="Calibri" w:hAnsi="Calibri" w:eastAsia="Calibri" w:cs="Calibri"/>
          <w:color w:val="000000"/>
          <w:sz w:val="22"/>
          <w:szCs w:val="22"/>
        </w:rPr>
        <w:t xml:space="preserve">(Chalcididae), </w:t>
      </w:r>
      <w:r>
        <w:rPr>
          <w:rFonts w:ascii="Calibri" w:hAnsi="Calibri" w:eastAsia="Calibri" w:cs="Calibri"/>
          <w:i/>
          <w:iCs/>
          <w:color w:val="000000"/>
          <w:sz w:val="22"/>
          <w:szCs w:val="22"/>
        </w:rPr>
        <w:t xml:space="preserve">Spathius </w:t>
      </w:r>
      <w:r>
        <w:rPr>
          <w:rFonts w:ascii="Calibri" w:hAnsi="Calibri" w:eastAsia="Calibri" w:cs="Calibri"/>
          <w:color w:val="000000"/>
          <w:sz w:val="22"/>
          <w:szCs w:val="22"/>
        </w:rPr>
        <w:t xml:space="preserve">(Braconidae) and </w:t>
      </w:r>
      <w:r>
        <w:rPr>
          <w:rFonts w:ascii="Calibri" w:hAnsi="Calibri" w:eastAsia="Calibri" w:cs="Calibri"/>
          <w:i/>
          <w:iCs/>
          <w:color w:val="000000"/>
          <w:sz w:val="22"/>
          <w:szCs w:val="22"/>
        </w:rPr>
        <w:t xml:space="preserve">Wroughtonia </w:t>
      </w:r>
      <w:r>
        <w:rPr>
          <w:rFonts w:ascii="Calibri" w:hAnsi="Calibri" w:eastAsia="Calibri" w:cs="Calibri"/>
          <w:color w:val="000000"/>
          <w:sz w:val="22"/>
          <w:szCs w:val="22"/>
        </w:rPr>
        <w:t xml:space="preserve">(Braconidae) (Hopkins, 1892; Chittenden, 1897; Chapman, 1915; Cote &amp; Allen, 1980; Haack</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1981; Petrice &amp; Haack, 2014). Similarly, some of the larval and pupal predators were species of </w:t>
      </w:r>
      <w:r>
        <w:rPr>
          <w:rFonts w:ascii="Calibri" w:hAnsi="Calibri" w:eastAsia="Calibri" w:cs="Calibri"/>
          <w:i/>
          <w:iCs/>
          <w:color w:val="000000"/>
          <w:sz w:val="22"/>
          <w:szCs w:val="22"/>
        </w:rPr>
        <w:t xml:space="preserve">Adelocera </w:t>
      </w:r>
      <w:r>
        <w:rPr>
          <w:rFonts w:ascii="Calibri" w:hAnsi="Calibri" w:eastAsia="Calibri" w:cs="Calibri"/>
          <w:color w:val="000000"/>
          <w:sz w:val="22"/>
          <w:szCs w:val="22"/>
        </w:rPr>
        <w:t xml:space="preserve">(Elateridae), </w:t>
      </w:r>
      <w:r>
        <w:rPr>
          <w:rFonts w:ascii="Calibri" w:hAnsi="Calibri" w:eastAsia="Calibri" w:cs="Calibri"/>
          <w:i/>
          <w:iCs/>
          <w:color w:val="000000"/>
          <w:sz w:val="22"/>
          <w:szCs w:val="22"/>
        </w:rPr>
        <w:t xml:space="preserve">Cymatodera </w:t>
      </w:r>
      <w:r>
        <w:rPr>
          <w:rFonts w:ascii="Calibri" w:hAnsi="Calibri" w:eastAsia="Calibri" w:cs="Calibri"/>
          <w:color w:val="000000"/>
          <w:sz w:val="22"/>
          <w:szCs w:val="22"/>
        </w:rPr>
        <w:t xml:space="preserve">(Cleridae), </w:t>
      </w:r>
      <w:r>
        <w:rPr>
          <w:rFonts w:ascii="Calibri" w:hAnsi="Calibri" w:eastAsia="Calibri" w:cs="Calibri"/>
          <w:i/>
          <w:iCs/>
          <w:color w:val="000000"/>
          <w:sz w:val="22"/>
          <w:szCs w:val="22"/>
        </w:rPr>
        <w:t xml:space="preserve">Phyllobaenus </w:t>
      </w:r>
      <w:r>
        <w:rPr>
          <w:rFonts w:ascii="Calibri" w:hAnsi="Calibri" w:eastAsia="Calibri" w:cs="Calibri"/>
          <w:color w:val="000000"/>
          <w:sz w:val="22"/>
          <w:szCs w:val="22"/>
        </w:rPr>
        <w:t xml:space="preserve">(Cleridae) and </w:t>
      </w:r>
      <w:r>
        <w:rPr>
          <w:rFonts w:ascii="Calibri" w:hAnsi="Calibri" w:eastAsia="Calibri" w:cs="Calibri"/>
          <w:i/>
          <w:iCs/>
          <w:color w:val="000000"/>
          <w:sz w:val="22"/>
          <w:szCs w:val="22"/>
        </w:rPr>
        <w:t xml:space="preserve">Tenebrioides </w:t>
      </w:r>
      <w:r>
        <w:rPr>
          <w:rFonts w:ascii="Calibri" w:hAnsi="Calibri" w:eastAsia="Calibri" w:cs="Calibri"/>
          <w:color w:val="000000"/>
          <w:sz w:val="22"/>
          <w:szCs w:val="22"/>
        </w:rPr>
        <w:t xml:space="preserve">(Trogossitidae) (Dunbar &amp; Stephens, 1976; Cote &amp; Allen, 1980;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Various bird species also feed on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adults and within-tree life stages (Dunbar &amp; Stephens, 1976; Cote &amp; Allen, 1980).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broad range of</w:t>
      </w:r>
      <w:r>
        <w:rPr>
          <w:rFonts w:ascii="Calibri" w:hAnsi="Calibri" w:eastAsia="Calibri" w:cs="Calibri"/>
          <w:i/>
          <w:iCs/>
          <w:color w:val="000000"/>
          <w:sz w:val="22"/>
          <w:szCs w:val="22"/>
        </w:rPr>
        <w:t xml:space="preserve"> A. bilineatus</w:t>
      </w:r>
      <w:r>
        <w:rPr>
          <w:rFonts w:ascii="Calibri" w:hAnsi="Calibri" w:eastAsia="Calibri" w:cs="Calibri"/>
          <w:color w:val="000000"/>
          <w:sz w:val="22"/>
          <w:szCs w:val="22"/>
        </w:rPr>
        <w:t xml:space="preserve"> in eastern North America, from southern Canada to the southern United States, indicates that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can tolerate a wide array of climatic conditions and therefore could likely establish throughout much of the EPPO region where its host trees are present.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the only native species of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in Europe, occurs from England and Belgium in northern Europe, southward to Morocco in North Africa, and eastward through southern Europe to Azerbaijan (Conedera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There are many species of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in Europe, with some reaching southern Norway, Sweden and Finland (</w:t>
      </w:r>
      <w:r>
        <w:rPr>
          <w:rFonts w:ascii="Calibri" w:hAnsi="Calibri" w:eastAsia="Calibri" w:cs="Calibri"/>
          <w:i/>
          <w:iCs/>
          <w:color w:val="000000"/>
          <w:sz w:val="22"/>
          <w:szCs w:val="22"/>
        </w:rPr>
        <w:t xml:space="preserve">Q. robur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Q. petraea</w:t>
      </w:r>
      <w:r>
        <w:rPr>
          <w:rFonts w:ascii="Calibri" w:hAnsi="Calibri" w:eastAsia="Calibri" w:cs="Calibri"/>
          <w:color w:val="000000"/>
          <w:sz w:val="22"/>
          <w:szCs w:val="22"/>
        </w:rPr>
        <w:t xml:space="preserve">), while others reach northern Africa (</w:t>
      </w:r>
      <w:r>
        <w:rPr>
          <w:rFonts w:ascii="Calibri" w:hAnsi="Calibri" w:eastAsia="Calibri" w:cs="Calibri"/>
          <w:i/>
          <w:iCs/>
          <w:color w:val="000000"/>
          <w:sz w:val="22"/>
          <w:szCs w:val="22"/>
        </w:rPr>
        <w:t xml:space="preserve">Q. afares, Q. ilex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Q. suber</w:t>
      </w:r>
      <w:r>
        <w:rPr>
          <w:rFonts w:ascii="Calibri" w:hAnsi="Calibri" w:eastAsia="Calibri" w:cs="Calibri"/>
          <w:color w:val="000000"/>
          <w:sz w:val="22"/>
          <w:szCs w:val="22"/>
        </w:rPr>
        <w:t xml:space="preserve">) (Quercus Portal, 2017). </w:t>
      </w:r>
      <w:r>
        <w:rPr>
          <w:rFonts w:ascii="Calibri" w:hAnsi="Calibri" w:eastAsia="Calibri" w:cs="Calibri"/>
          <w:i/>
          <w:iCs/>
          <w:color w:val="000000"/>
          <w:sz w:val="22"/>
          <w:szCs w:val="22"/>
        </w:rPr>
        <w:t xml:space="preserve">Q. robur </w:t>
      </w:r>
      <w:r>
        <w:rPr>
          <w:rFonts w:ascii="Calibri" w:hAnsi="Calibri" w:eastAsia="Calibri" w:cs="Calibri"/>
          <w:color w:val="000000"/>
          <w:sz w:val="22"/>
          <w:szCs w:val="22"/>
        </w:rPr>
        <w:t xml:space="preserve">has the largest geographic range of any of the European oaks, extending from Scotland and Norway in the north to Portugal, Greece and Turkey in the south and eastward in Russia to the Urals (Eaton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and the many European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species are important as timber and ornamentals trees, as well as for food for humans and wildlife (Conedera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Eaton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2016). In North America, the only European tree species that </w:t>
      </w:r>
      <w:r>
        <w:rPr>
          <w:rFonts w:ascii="Calibri" w:hAnsi="Calibri" w:eastAsia="Calibri" w:cs="Calibri"/>
          <w:i/>
          <w:iCs/>
          <w:color w:val="000000"/>
          <w:sz w:val="22"/>
          <w:szCs w:val="22"/>
        </w:rPr>
        <w:t xml:space="preserve">A. bilineatus </w:t>
      </w:r>
      <w:r>
        <w:rPr>
          <w:rFonts w:ascii="Calibri" w:hAnsi="Calibri" w:eastAsia="Calibri" w:cs="Calibri"/>
          <w:color w:val="000000"/>
          <w:sz w:val="22"/>
          <w:szCs w:val="22"/>
        </w:rPr>
        <w:t xml:space="preserve">has been documented to infest is</w:t>
      </w:r>
      <w:r>
        <w:rPr>
          <w:rFonts w:ascii="Calibri" w:hAnsi="Calibri" w:eastAsia="Calibri" w:cs="Calibri"/>
          <w:i/>
          <w:iCs/>
          <w:color w:val="000000"/>
          <w:sz w:val="22"/>
          <w:szCs w:val="22"/>
        </w:rPr>
        <w:t xml:space="preserve"> Q. robur</w:t>
      </w:r>
      <w:r>
        <w:rPr>
          <w:rFonts w:ascii="Calibri" w:hAnsi="Calibri" w:eastAsia="Calibri" w:cs="Calibri"/>
          <w:color w:val="000000"/>
          <w:sz w:val="22"/>
          <w:szCs w:val="22"/>
        </w:rPr>
        <w:t xml:space="preserve">. In these situations, both occurring in Michigan,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apparently infested and killed </w:t>
      </w:r>
      <w:r>
        <w:rPr>
          <w:rFonts w:ascii="Calibri" w:hAnsi="Calibri" w:eastAsia="Calibri" w:cs="Calibri"/>
          <w:i/>
          <w:iCs/>
          <w:color w:val="000000"/>
          <w:sz w:val="22"/>
          <w:szCs w:val="22"/>
        </w:rPr>
        <w:t xml:space="preserve">Q. robur </w:t>
      </w:r>
      <w:r>
        <w:rPr>
          <w:rFonts w:ascii="Calibri" w:hAnsi="Calibri" w:eastAsia="Calibri" w:cs="Calibri"/>
          <w:color w:val="000000"/>
          <w:sz w:val="22"/>
          <w:szCs w:val="22"/>
        </w:rPr>
        <w:t xml:space="preserve">trees planted as ornamentals on the Michigan State University (MSU) campus (Haack, unpublished data), and at two MSU Experimental Forest genetic test sites where it was inter-planted with native </w:t>
      </w:r>
      <w:r>
        <w:rPr>
          <w:rFonts w:ascii="Calibri" w:hAnsi="Calibri" w:eastAsia="Calibri" w:cs="Calibri"/>
          <w:i/>
          <w:iCs/>
          <w:color w:val="000000"/>
          <w:sz w:val="22"/>
          <w:szCs w:val="22"/>
        </w:rPr>
        <w:t xml:space="preserve">Q. alba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Q. rubra</w:t>
      </w:r>
      <w:r>
        <w:rPr>
          <w:rFonts w:ascii="Calibri" w:hAnsi="Calibri" w:eastAsia="Calibri" w:cs="Calibri"/>
          <w:color w:val="000000"/>
          <w:sz w:val="22"/>
          <w:szCs w:val="22"/>
        </w:rPr>
        <w:t xml:space="preserve"> trees (Haack, 1986).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bilineatus </w:t>
      </w:r>
      <w:r>
        <w:rPr>
          <w:rFonts w:ascii="Calibri" w:hAnsi="Calibri" w:eastAsia="Calibri" w:cs="Calibri"/>
          <w:color w:val="000000"/>
          <w:sz w:val="22"/>
          <w:szCs w:val="22"/>
        </w:rPr>
        <w:t xml:space="preserve">was added to the EPPO Alert List in 2018 (EPPO, 2018) and to the EPPO A2 list in 2019. Suggested phytosanitary measures are specified in the pest risk analysis (PRA) performed by EPPO in 2018 (EPPO, 2019) and these are as follows. Plants for planting of </w:t>
      </w:r>
      <w:r>
        <w:rPr>
          <w:rFonts w:ascii="Calibri" w:hAnsi="Calibri" w:eastAsia="Calibri" w:cs="Calibri"/>
          <w:i/>
          <w:iCs/>
          <w:color w:val="000000"/>
          <w:sz w:val="22"/>
          <w:szCs w:val="22"/>
        </w:rPr>
        <w:t xml:space="preserve">Castanea </w:t>
      </w:r>
      <w:r>
        <w:rPr>
          <w:rFonts w:ascii="Calibri" w:hAnsi="Calibri" w:eastAsia="Calibri" w:cs="Calibri"/>
          <w:color w:val="000000"/>
          <w:sz w:val="22"/>
          <w:szCs w:val="22"/>
        </w:rPr>
        <w:t xml:space="preserve">spp. and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spp. should originate from pest-free areas or pest-free sites of production under complete physical isolation, plants being packed in conditions preventing infestation during transport (or commercialized outside the period where adults are present). Round wood and sawn wood of more than 6 mm thickness of </w:t>
      </w:r>
      <w:r>
        <w:rPr>
          <w:rFonts w:ascii="Calibri" w:hAnsi="Calibri" w:eastAsia="Calibri" w:cs="Calibri"/>
          <w:i/>
          <w:iCs/>
          <w:color w:val="000000"/>
          <w:sz w:val="22"/>
          <w:szCs w:val="22"/>
        </w:rPr>
        <w:t xml:space="preserve">Castanea </w:t>
      </w:r>
      <w:r>
        <w:rPr>
          <w:rFonts w:ascii="Calibri" w:hAnsi="Calibri" w:eastAsia="Calibri" w:cs="Calibri"/>
          <w:color w:val="000000"/>
          <w:sz w:val="22"/>
          <w:szCs w:val="22"/>
        </w:rPr>
        <w:t xml:space="preserve">spp. and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spp. should either originate in pest-free areas or undergo debarking followed by heat treatment, irradiation or fumigation. Alternatively, the bark may be removed with 2.5 cm of outer xylem. Bark and cut branches of </w:t>
      </w:r>
      <w:r>
        <w:rPr>
          <w:rFonts w:ascii="Calibri" w:hAnsi="Calibri" w:eastAsia="Calibri" w:cs="Calibri"/>
          <w:i/>
          <w:iCs/>
          <w:color w:val="000000"/>
          <w:sz w:val="22"/>
          <w:szCs w:val="22"/>
        </w:rPr>
        <w:t xml:space="preserve">Castanea </w:t>
      </w:r>
      <w:r>
        <w:rPr>
          <w:rFonts w:ascii="Calibri" w:hAnsi="Calibri" w:eastAsia="Calibri" w:cs="Calibri"/>
          <w:color w:val="000000"/>
          <w:sz w:val="22"/>
          <w:szCs w:val="22"/>
        </w:rPr>
        <w:t xml:space="preserve">spp. and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spp. should originate in pest-free areas. Wood chips, hogwood and processing wood residues should originate in pest-free areas and be stored and transported under control of the NPPO to prevent contamination by adults. Wood packaging material should undergo treatment according to ISPM 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Baker WL (1941) Effect of gypsy moth defoliation on certain forest trees.</w:t>
      </w:r>
      <w:r>
        <w:rPr>
          <w:rFonts w:ascii="Calibri" w:hAnsi="Calibri" w:eastAsia="Calibri" w:cs="Calibri"/>
          <w:i/>
          <w:iCs/>
          <w:color w:val="000000"/>
          <w:sz w:val="22"/>
          <w:szCs w:val="22"/>
        </w:rPr>
        <w:t xml:space="preserve"> Journal of Forestry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1017–1022.</w:t>
      </w:r>
    </w:p>
    <w:p>
      <w:pPr>
        <w:widowControl w:val="on"/>
        <w:pBdr/>
        <w:spacing w:before="220" w:after="220" w:line="240" w:lineRule="auto"/>
        <w:ind w:left="0" w:right="0"/>
        <w:jc w:val="left"/>
      </w:pPr>
      <w:r>
        <w:rPr>
          <w:rFonts w:ascii="Calibri" w:hAnsi="Calibri" w:eastAsia="Calibri" w:cs="Calibri"/>
          <w:color w:val="000000"/>
          <w:sz w:val="22"/>
          <w:szCs w:val="22"/>
        </w:rPr>
        <w:t xml:space="preserve">Bright DE. (1987) The Metallic Wood-Boring Beetles of Canada and Alaska, Coleoptera: Buprestidae. The Insects and Arachnids of Canada, Part 15. Biosystematics Research Center, Ottawa (CA).</w:t>
      </w:r>
    </w:p>
    <w:p>
      <w:pPr>
        <w:widowControl w:val="on"/>
        <w:pBdr/>
        <w:spacing w:before="220" w:after="220" w:line="240" w:lineRule="auto"/>
        <w:ind w:left="0" w:right="0"/>
        <w:jc w:val="left"/>
      </w:pPr>
      <w:r>
        <w:rPr>
          <w:rFonts w:ascii="Calibri" w:hAnsi="Calibri" w:eastAsia="Calibri" w:cs="Calibri"/>
          <w:color w:val="000000"/>
          <w:sz w:val="22"/>
          <w:szCs w:val="22"/>
        </w:rPr>
        <w:t xml:space="preserve">Buck JH &amp; Marshall JM (2008) Hitchhiking as a secondary dispersal pathway for adult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 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197–199.</w:t>
      </w:r>
    </w:p>
    <w:p>
      <w:pPr>
        <w:widowControl w:val="on"/>
        <w:pBdr/>
        <w:spacing w:before="220" w:after="220" w:line="240" w:lineRule="auto"/>
        <w:ind w:left="0" w:right="0"/>
        <w:jc w:val="left"/>
      </w:pPr>
      <w:r>
        <w:rPr>
          <w:rFonts w:ascii="Calibri" w:hAnsi="Calibri" w:eastAsia="Calibri" w:cs="Calibri"/>
          <w:color w:val="000000"/>
          <w:sz w:val="22"/>
          <w:szCs w:val="22"/>
        </w:rPr>
        <w:t xml:space="preserve">Burke HE (1910) </w:t>
      </w:r>
      <w:r>
        <w:rPr>
          <w:rFonts w:ascii="Calibri" w:hAnsi="Calibri" w:eastAsia="Calibri" w:cs="Calibri"/>
          <w:i/>
          <w:iCs/>
          <w:color w:val="000000"/>
          <w:sz w:val="22"/>
          <w:szCs w:val="22"/>
        </w:rPr>
        <w:t xml:space="preserve">Injuries to Forest Trees by Flat-headed Borers,</w:t>
      </w:r>
      <w:r>
        <w:rPr>
          <w:rFonts w:ascii="Calibri" w:hAnsi="Calibri" w:eastAsia="Calibri" w:cs="Calibri"/>
          <w:color w:val="000000"/>
          <w:sz w:val="22"/>
          <w:szCs w:val="22"/>
        </w:rPr>
        <w:t xml:space="preserve"> pp. 399–415. Yearbook of the United States Department of Agriculture 1909, Washington (US).</w:t>
      </w:r>
    </w:p>
    <w:p>
      <w:pPr>
        <w:widowControl w:val="on"/>
        <w:pBdr/>
        <w:spacing w:before="220" w:after="220" w:line="240" w:lineRule="auto"/>
        <w:ind w:left="0" w:right="0"/>
        <w:jc w:val="left"/>
      </w:pPr>
      <w:r>
        <w:rPr>
          <w:rFonts w:ascii="Calibri" w:hAnsi="Calibri" w:eastAsia="Calibri" w:cs="Calibri"/>
          <w:color w:val="000000"/>
          <w:sz w:val="22"/>
          <w:szCs w:val="22"/>
        </w:rPr>
        <w:t xml:space="preserve">Burke HE (1917) Flat headed borers affecting forest trees in the United States. </w:t>
      </w:r>
      <w:r>
        <w:rPr>
          <w:rFonts w:ascii="Calibri" w:hAnsi="Calibri" w:eastAsia="Calibri" w:cs="Calibri"/>
          <w:i/>
          <w:iCs/>
          <w:color w:val="000000"/>
          <w:sz w:val="22"/>
          <w:szCs w:val="22"/>
        </w:rPr>
        <w:t xml:space="preserve">USDA Bulletin </w:t>
      </w:r>
      <w:r>
        <w:rPr>
          <w:rFonts w:ascii="Calibri" w:hAnsi="Calibri" w:eastAsia="Calibri" w:cs="Calibri"/>
          <w:b/>
          <w:bCs/>
          <w:color w:val="000000"/>
          <w:sz w:val="22"/>
          <w:szCs w:val="22"/>
        </w:rPr>
        <w:t xml:space="preserve">437</w:t>
      </w:r>
      <w:r>
        <w:rPr>
          <w:rFonts w:ascii="Calibri" w:hAnsi="Calibri" w:eastAsia="Calibri" w:cs="Calibri"/>
          <w:color w:val="000000"/>
          <w:sz w:val="22"/>
          <w:szCs w:val="22"/>
        </w:rPr>
        <w:t xml:space="preserve">. Washington, DC.</w:t>
      </w:r>
    </w:p>
    <w:p>
      <w:pPr>
        <w:widowControl w:val="on"/>
        <w:pBdr/>
        <w:spacing w:before="220" w:after="220" w:line="240" w:lineRule="auto"/>
        <w:ind w:left="0" w:right="0"/>
        <w:jc w:val="left"/>
      </w:pPr>
      <w:r>
        <w:rPr>
          <w:rFonts w:ascii="Calibri" w:hAnsi="Calibri" w:eastAsia="Calibri" w:cs="Calibri"/>
          <w:color w:val="000000"/>
          <w:sz w:val="22"/>
          <w:szCs w:val="22"/>
        </w:rPr>
        <w:t xml:space="preserve">Chamorro ML, Jendek E, Haack RA, Petrice TR, Woodley NE, Konstantinov AS et al. (2015) Illustrated Guide to the Emerald Ash Borer </w:t>
      </w:r>
      <w:r>
        <w:rPr>
          <w:rFonts w:ascii="Calibri" w:hAnsi="Calibri" w:eastAsia="Calibri" w:cs="Calibri"/>
          <w:i/>
          <w:iCs/>
          <w:color w:val="000000"/>
          <w:sz w:val="22"/>
          <w:szCs w:val="22"/>
        </w:rPr>
        <w:t xml:space="preserve">Agrilus planipennis </w:t>
      </w:r>
      <w:r>
        <w:rPr>
          <w:rFonts w:ascii="Calibri" w:hAnsi="Calibri" w:eastAsia="Calibri" w:cs="Calibri"/>
          <w:color w:val="000000"/>
          <w:sz w:val="22"/>
          <w:szCs w:val="22"/>
        </w:rPr>
        <w:t xml:space="preserve">Fairmaire and Related Species (Coleoptera, Buprestidae). Pensoft, Sofia.</w:t>
      </w:r>
    </w:p>
    <w:p>
      <w:pPr>
        <w:widowControl w:val="on"/>
        <w:pBdr/>
        <w:spacing w:before="220" w:after="220" w:line="240" w:lineRule="auto"/>
        <w:ind w:left="0" w:right="0"/>
        <w:jc w:val="left"/>
      </w:pPr>
      <w:r>
        <w:rPr>
          <w:rFonts w:ascii="Calibri" w:hAnsi="Calibri" w:eastAsia="Calibri" w:cs="Calibri"/>
          <w:color w:val="000000"/>
          <w:sz w:val="22"/>
          <w:szCs w:val="22"/>
        </w:rPr>
        <w:t xml:space="preserve">Chamorro ML, Volkovitsh MG, Poland TM, Haack RA &amp; Lingafelter SW (2012) Preimaginal stages of the emerald ash borer,</w:t>
      </w:r>
      <w:r>
        <w:rPr>
          <w:rFonts w:ascii="Calibri" w:hAnsi="Calibri" w:eastAsia="Calibri" w:cs="Calibri"/>
          <w:i/>
          <w:iCs/>
          <w:color w:val="000000"/>
          <w:sz w:val="22"/>
          <w:szCs w:val="22"/>
        </w:rPr>
        <w:t xml:space="preserve"> Agrilus planipennis</w:t>
      </w:r>
      <w:r>
        <w:rPr>
          <w:rFonts w:ascii="Calibri" w:hAnsi="Calibri" w:eastAsia="Calibri" w:cs="Calibri"/>
          <w:color w:val="000000"/>
          <w:sz w:val="22"/>
          <w:szCs w:val="22"/>
        </w:rPr>
        <w:t xml:space="preserve"> Fairmaire (Coleoptera: Buprestidae): an invasive pest on ash trees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(3), e33185. </w:t>
      </w:r>
      <w:hyperlink r:id="rId4999664b36be5fb3c" w:history="1">
        <w:r>
          <w:rPr>
            <w:rFonts w:ascii="Calibri" w:hAnsi="Calibri" w:eastAsia="Calibri" w:cs="Calibri"/>
            <w:color w:val="0000CC"/>
            <w:sz w:val="22"/>
            <w:szCs w:val="22"/>
            <w:u w:val="single"/>
          </w:rPr>
          <w:t xml:space="preserve">https://doi.org/10.1371/journal.pone.0033185.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Chapman RN (1915) Observations on the life history of</w:t>
      </w:r>
      <w:r>
        <w:rPr>
          <w:rFonts w:ascii="Calibri" w:hAnsi="Calibri" w:eastAsia="Calibri" w:cs="Calibri"/>
          <w:i/>
          <w:iCs/>
          <w:color w:val="000000"/>
          <w:sz w:val="22"/>
          <w:szCs w:val="22"/>
        </w:rPr>
        <w:t xml:space="preserve"> Agrilus bilineatus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283–294.</w:t>
      </w:r>
    </w:p>
    <w:p>
      <w:pPr>
        <w:widowControl w:val="on"/>
        <w:pBdr/>
        <w:spacing w:before="220" w:after="220" w:line="240" w:lineRule="auto"/>
        <w:ind w:left="0" w:right="0"/>
        <w:jc w:val="left"/>
      </w:pPr>
      <w:r>
        <w:rPr>
          <w:rFonts w:ascii="Calibri" w:hAnsi="Calibri" w:eastAsia="Calibri" w:cs="Calibri"/>
          <w:color w:val="000000"/>
          <w:sz w:val="22"/>
          <w:szCs w:val="22"/>
        </w:rPr>
        <w:t xml:space="preserve">Chittenden FH (1897) T</w:t>
      </w:r>
      <w:r>
        <w:rPr>
          <w:rFonts w:ascii="Calibri" w:hAnsi="Calibri" w:eastAsia="Calibri" w:cs="Calibri"/>
          <w:i/>
          <w:iCs/>
          <w:color w:val="000000"/>
          <w:sz w:val="22"/>
          <w:szCs w:val="22"/>
        </w:rPr>
        <w:t xml:space="preserve">he Twolined Chestnut Borer (Agrilus bilineatus Weber).</w:t>
      </w:r>
      <w:r>
        <w:rPr>
          <w:rFonts w:ascii="Calibri" w:hAnsi="Calibri" w:eastAsia="Calibri" w:cs="Calibri"/>
          <w:color w:val="000000"/>
          <w:sz w:val="22"/>
          <w:szCs w:val="22"/>
        </w:rPr>
        <w:t xml:space="preserve"> United States Department of Agriculture, Division of Entomology Circular 24.</w:t>
      </w:r>
    </w:p>
    <w:p>
      <w:pPr>
        <w:widowControl w:val="on"/>
        <w:pBdr/>
        <w:spacing w:before="220" w:after="220" w:line="240" w:lineRule="auto"/>
        <w:ind w:left="0" w:right="0"/>
        <w:jc w:val="left"/>
      </w:pPr>
      <w:r>
        <w:rPr>
          <w:rFonts w:ascii="Calibri" w:hAnsi="Calibri" w:eastAsia="Calibri" w:cs="Calibri"/>
          <w:color w:val="000000"/>
          <w:sz w:val="22"/>
          <w:szCs w:val="22"/>
        </w:rPr>
        <w:t xml:space="preserve">Chittenden FH. (1900) Food plants and injury of North American species of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pp. 64–68. United States Department of Agriculture, Division of Entomology Bulletin 22, Washington (US).</w:t>
      </w:r>
    </w:p>
    <w:p>
      <w:pPr>
        <w:widowControl w:val="on"/>
        <w:pBdr/>
        <w:spacing w:before="220" w:after="220" w:line="240" w:lineRule="auto"/>
        <w:ind w:left="0" w:right="0"/>
        <w:jc w:val="left"/>
      </w:pPr>
      <w:r>
        <w:rPr>
          <w:rFonts w:ascii="Calibri" w:hAnsi="Calibri" w:eastAsia="Calibri" w:cs="Calibri"/>
          <w:color w:val="000000"/>
          <w:sz w:val="22"/>
          <w:szCs w:val="22"/>
        </w:rPr>
        <w:t xml:space="preserve">Coleman TW, Smith SL, Jones MI, Graves AD &amp; Strom BL (2016) Effect of contact insecticides against the invasive goldspotted oak borer (Coleoptera: Buprestidae) in California.</w:t>
      </w:r>
      <w:r>
        <w:rPr>
          <w:rFonts w:ascii="Calibri" w:hAnsi="Calibri" w:eastAsia="Calibri" w:cs="Calibri"/>
          <w:i/>
          <w:iCs/>
          <w:color w:val="000000"/>
          <w:sz w:val="22"/>
          <w:szCs w:val="22"/>
        </w:rPr>
        <w:t xml:space="preserve"> 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2436–2445.</w:t>
      </w:r>
    </w:p>
    <w:p>
      <w:pPr>
        <w:widowControl w:val="on"/>
        <w:pBdr/>
        <w:spacing w:before="220" w:after="220" w:line="240" w:lineRule="auto"/>
        <w:ind w:left="0" w:right="0"/>
        <w:jc w:val="left"/>
      </w:pPr>
      <w:r>
        <w:rPr>
          <w:rFonts w:ascii="Calibri" w:hAnsi="Calibri" w:eastAsia="Calibri" w:cs="Calibri"/>
          <w:color w:val="000000"/>
          <w:sz w:val="22"/>
          <w:szCs w:val="22"/>
        </w:rPr>
        <w:t xml:space="preserve">Coleman TW, Smith SL, Jones MI, Graves AD &amp; Strom BL (2017) Efficacy of systemic insecticides for control of the invasive goldspotted oak borer (Coleoptera: Buprestidae) in California.</w:t>
      </w:r>
      <w:r>
        <w:rPr>
          <w:rFonts w:ascii="Calibri" w:hAnsi="Calibri" w:eastAsia="Calibri" w:cs="Calibri"/>
          <w:i/>
          <w:iCs/>
          <w:color w:val="000000"/>
          <w:sz w:val="22"/>
          <w:szCs w:val="22"/>
        </w:rPr>
        <w:t xml:space="preserve"> 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2129–2139.</w:t>
      </w:r>
    </w:p>
    <w:p>
      <w:pPr>
        <w:widowControl w:val="on"/>
        <w:pBdr/>
        <w:spacing w:before="220" w:after="220" w:line="240" w:lineRule="auto"/>
        <w:ind w:left="0" w:right="0"/>
        <w:jc w:val="left"/>
      </w:pPr>
      <w:r>
        <w:rPr>
          <w:rFonts w:ascii="Calibri" w:hAnsi="Calibri" w:eastAsia="Calibri" w:cs="Calibri"/>
          <w:color w:val="000000"/>
          <w:sz w:val="22"/>
          <w:szCs w:val="22"/>
        </w:rPr>
        <w:t xml:space="preserve">Conedera M, Tinner W, Krebs P, de Rigo D &amp; Caudullo G. (2016)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in Europe: distribution, habitat, usage and threats. In </w:t>
      </w:r>
      <w:r>
        <w:rPr>
          <w:rFonts w:ascii="Calibri" w:hAnsi="Calibri" w:eastAsia="Calibri" w:cs="Calibri"/>
          <w:i/>
          <w:iCs/>
          <w:color w:val="000000"/>
          <w:sz w:val="22"/>
          <w:szCs w:val="22"/>
        </w:rPr>
        <w:t xml:space="preserve">European Atlas of Forest Tree Species</w:t>
      </w:r>
      <w:r>
        <w:rPr>
          <w:rFonts w:ascii="Calibri" w:hAnsi="Calibri" w:eastAsia="Calibri" w:cs="Calibri"/>
          <w:color w:val="000000"/>
          <w:sz w:val="22"/>
          <w:szCs w:val="22"/>
        </w:rPr>
        <w:t xml:space="preserve"> (Eds by San-Miguel-Ayanz J, De Rigo D, Caudullo G, Houston Durrant T &amp; Mauri A), pp. 78–79. Publications Office of the European Union, Luxembourg.</w:t>
      </w:r>
    </w:p>
    <w:p>
      <w:pPr>
        <w:widowControl w:val="on"/>
        <w:pBdr/>
        <w:spacing w:before="220" w:after="220" w:line="240" w:lineRule="auto"/>
        <w:ind w:left="0" w:right="0"/>
        <w:jc w:val="left"/>
      </w:pPr>
      <w:r>
        <w:rPr>
          <w:rFonts w:ascii="Calibri" w:hAnsi="Calibri" w:eastAsia="Calibri" w:cs="Calibri"/>
          <w:color w:val="000000"/>
          <w:sz w:val="22"/>
          <w:szCs w:val="22"/>
        </w:rPr>
        <w:t xml:space="preserve">Cote WA &amp; Allen DC (1980) Biology of two-lined chestnut borer,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in Pennsylvania and New York. </w:t>
      </w:r>
      <w:r>
        <w:rPr>
          <w:rFonts w:ascii="Calibri" w:hAnsi="Calibri" w:eastAsia="Calibri" w:cs="Calibri"/>
          <w:i/>
          <w:iCs/>
          <w:color w:val="000000"/>
          <w:sz w:val="22"/>
          <w:szCs w:val="22"/>
        </w:rPr>
        <w:t xml:space="preserve">Annals of the Entomological Society of America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409–413.</w:t>
      </w:r>
    </w:p>
    <w:p>
      <w:pPr>
        <w:widowControl w:val="on"/>
        <w:pBdr/>
        <w:spacing w:before="220" w:after="220" w:line="240" w:lineRule="auto"/>
        <w:ind w:left="0" w:right="0"/>
        <w:jc w:val="left"/>
      </w:pPr>
      <w:r>
        <w:rPr>
          <w:rFonts w:ascii="Calibri" w:hAnsi="Calibri" w:eastAsia="Calibri" w:cs="Calibri"/>
          <w:color w:val="000000"/>
          <w:sz w:val="22"/>
          <w:szCs w:val="22"/>
        </w:rPr>
        <w:t xml:space="preserve">Domingue MJ, Pulsifer DP, Lakhtakia A, Berkebile J, Steiner KC, Lelito JP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Detecting emerald ash borers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using branch traps baited with 3D-printed beetle decoys. </w:t>
      </w:r>
      <w:r>
        <w:rPr>
          <w:rFonts w:ascii="Calibri" w:hAnsi="Calibri" w:eastAsia="Calibri" w:cs="Calibri"/>
          <w:i/>
          <w:iCs/>
          <w:color w:val="000000"/>
          <w:sz w:val="22"/>
          <w:szCs w:val="22"/>
        </w:rPr>
        <w:t xml:space="preserve">Journal of Pest Science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267–279.</w:t>
      </w:r>
    </w:p>
    <w:p>
      <w:pPr>
        <w:widowControl w:val="on"/>
        <w:pBdr/>
        <w:spacing w:before="220" w:after="220" w:line="240" w:lineRule="auto"/>
        <w:ind w:left="0" w:right="0"/>
        <w:jc w:val="left"/>
      </w:pPr>
      <w:r>
        <w:rPr>
          <w:rFonts w:ascii="Calibri" w:hAnsi="Calibri" w:eastAsia="Calibri" w:cs="Calibri"/>
          <w:color w:val="000000"/>
          <w:sz w:val="22"/>
          <w:szCs w:val="22"/>
        </w:rPr>
        <w:t xml:space="preserve">Dunbar DM &amp; Stephens GR (1974) Twolined chestnut borer: effects of storage conditions, processing, and insecticides on its survival in oak logs.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427–429.</w:t>
      </w:r>
    </w:p>
    <w:p>
      <w:pPr>
        <w:widowControl w:val="on"/>
        <w:pBdr/>
        <w:spacing w:before="220" w:after="220" w:line="240" w:lineRule="auto"/>
        <w:ind w:left="0" w:right="0"/>
        <w:jc w:val="left"/>
      </w:pPr>
      <w:r>
        <w:rPr>
          <w:rFonts w:ascii="Calibri" w:hAnsi="Calibri" w:eastAsia="Calibri" w:cs="Calibri"/>
          <w:color w:val="000000"/>
          <w:sz w:val="22"/>
          <w:szCs w:val="22"/>
        </w:rPr>
        <w:t xml:space="preserve">Dunbar DM &amp; Stephens GR (1975) Association of two-lined chestnut borer and shoestring fungus with mortality of defoliated oak in Connecticut.</w:t>
      </w:r>
      <w:r>
        <w:rPr>
          <w:rFonts w:ascii="Calibri" w:hAnsi="Calibri" w:eastAsia="Calibri" w:cs="Calibri"/>
          <w:i/>
          <w:iCs/>
          <w:color w:val="000000"/>
          <w:sz w:val="22"/>
          <w:szCs w:val="22"/>
        </w:rPr>
        <w:t xml:space="preserve"> 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169–174.</w:t>
      </w:r>
    </w:p>
    <w:p>
      <w:pPr>
        <w:widowControl w:val="on"/>
        <w:pBdr/>
        <w:spacing w:before="220" w:after="220" w:line="240" w:lineRule="auto"/>
        <w:ind w:left="0" w:right="0"/>
        <w:jc w:val="left"/>
      </w:pPr>
      <w:r>
        <w:rPr>
          <w:rFonts w:ascii="Calibri" w:hAnsi="Calibri" w:eastAsia="Calibri" w:cs="Calibri"/>
          <w:color w:val="000000"/>
          <w:sz w:val="22"/>
          <w:szCs w:val="22"/>
        </w:rPr>
        <w:t xml:space="preserve">Dunbar DM &amp; Stephens GR (1976) The bionomics of the two-lined chestnut borer. In </w:t>
      </w:r>
      <w:r>
        <w:rPr>
          <w:rFonts w:ascii="Calibri" w:hAnsi="Calibri" w:eastAsia="Calibri" w:cs="Calibri"/>
          <w:i/>
          <w:iCs/>
          <w:color w:val="000000"/>
          <w:sz w:val="22"/>
          <w:szCs w:val="22"/>
        </w:rPr>
        <w:t xml:space="preserve">Perspectives in Forest Entomology </w:t>
      </w:r>
      <w:r>
        <w:rPr>
          <w:rFonts w:ascii="Calibri" w:hAnsi="Calibri" w:eastAsia="Calibri" w:cs="Calibri"/>
          <w:color w:val="000000"/>
          <w:sz w:val="22"/>
          <w:szCs w:val="22"/>
        </w:rPr>
        <w:t xml:space="preserve">(Eds. Anderson JF &amp; Kaya HK), pp. 73–83. Academic Press, New York (US).</w:t>
      </w:r>
    </w:p>
    <w:p>
      <w:pPr>
        <w:widowControl w:val="on"/>
        <w:pBdr/>
        <w:spacing w:before="220" w:after="220" w:line="240" w:lineRule="auto"/>
        <w:ind w:left="0" w:right="0"/>
        <w:jc w:val="left"/>
      </w:pPr>
      <w:r>
        <w:rPr>
          <w:rFonts w:ascii="Calibri" w:hAnsi="Calibri" w:eastAsia="Calibri" w:cs="Calibri"/>
          <w:color w:val="000000"/>
          <w:sz w:val="22"/>
          <w:szCs w:val="22"/>
        </w:rPr>
        <w:t xml:space="preserve">Dunn JP, Kimmerer TW &amp; Nordin GL (1986a) The role of host tree condition in attack of white oaks by the twolined chestnut borer, </w:t>
      </w:r>
      <w:r>
        <w:rPr>
          <w:rFonts w:ascii="Calibri" w:hAnsi="Calibri" w:eastAsia="Calibri" w:cs="Calibri"/>
          <w:i/>
          <w:iCs/>
          <w:color w:val="000000"/>
          <w:sz w:val="22"/>
          <w:szCs w:val="22"/>
        </w:rPr>
        <w:t xml:space="preserve">Agrilus bilineatus </w:t>
      </w:r>
      <w:r>
        <w:rPr>
          <w:rFonts w:ascii="Calibri" w:hAnsi="Calibri" w:eastAsia="Calibri" w:cs="Calibri"/>
          <w:color w:val="000000"/>
          <w:sz w:val="22"/>
          <w:szCs w:val="22"/>
        </w:rPr>
        <w:t xml:space="preserve">(Weber) (Coleoptera: Buprestidae). </w:t>
      </w:r>
      <w:r>
        <w:rPr>
          <w:rFonts w:ascii="Calibri" w:hAnsi="Calibri" w:eastAsia="Calibri" w:cs="Calibri"/>
          <w:i/>
          <w:iCs/>
          <w:color w:val="000000"/>
          <w:sz w:val="22"/>
          <w:szCs w:val="22"/>
        </w:rPr>
        <w:t xml:space="preserve">Oecologia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596–600.</w:t>
      </w:r>
    </w:p>
    <w:p>
      <w:pPr>
        <w:widowControl w:val="on"/>
        <w:pBdr/>
        <w:spacing w:before="220" w:after="220" w:line="240" w:lineRule="auto"/>
        <w:ind w:left="0" w:right="0"/>
        <w:jc w:val="left"/>
      </w:pPr>
      <w:r>
        <w:rPr>
          <w:rFonts w:ascii="Calibri" w:hAnsi="Calibri" w:eastAsia="Calibri" w:cs="Calibri"/>
          <w:color w:val="000000"/>
          <w:sz w:val="22"/>
          <w:szCs w:val="22"/>
        </w:rPr>
        <w:t xml:space="preserve">Dunn JP, Kimmerer TW &amp; Nordin GL (1986b) Attraction of the twolined chestnut borer,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(Weber) (Coleoptera: Buprestidae), and associated borers to volatiles of stressed white oak.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503–509.</w:t>
      </w:r>
    </w:p>
    <w:p>
      <w:pPr>
        <w:widowControl w:val="on"/>
        <w:pBdr/>
        <w:spacing w:before="220" w:after="220" w:line="240" w:lineRule="auto"/>
        <w:ind w:left="0" w:right="0"/>
        <w:jc w:val="left"/>
      </w:pPr>
      <w:r>
        <w:rPr>
          <w:rFonts w:ascii="Calibri" w:hAnsi="Calibri" w:eastAsia="Calibri" w:cs="Calibri"/>
          <w:color w:val="000000"/>
          <w:sz w:val="22"/>
          <w:szCs w:val="22"/>
        </w:rPr>
        <w:t xml:space="preserve">Dunn JP &amp; Potter DA (1988) Evidence for sexual attraction by the twolined chestnut borer, </w:t>
      </w:r>
      <w:r>
        <w:rPr>
          <w:rFonts w:ascii="Calibri" w:hAnsi="Calibri" w:eastAsia="Calibri" w:cs="Calibri"/>
          <w:i/>
          <w:iCs/>
          <w:color w:val="000000"/>
          <w:sz w:val="22"/>
          <w:szCs w:val="22"/>
        </w:rPr>
        <w:t xml:space="preserve">Agrilus bilineatus </w:t>
      </w:r>
      <w:r>
        <w:rPr>
          <w:rFonts w:ascii="Calibri" w:hAnsi="Calibri" w:eastAsia="Calibri" w:cs="Calibri"/>
          <w:color w:val="000000"/>
          <w:sz w:val="22"/>
          <w:szCs w:val="22"/>
        </w:rPr>
        <w:t xml:space="preserve">(Weber) (Coleoptera: Buprestidae). </w:t>
      </w:r>
      <w:r>
        <w:rPr>
          <w:rFonts w:ascii="Calibri" w:hAnsi="Calibri" w:eastAsia="Calibri" w:cs="Calibri"/>
          <w:i/>
          <w:iCs/>
          <w:color w:val="000000"/>
          <w:sz w:val="22"/>
          <w:szCs w:val="22"/>
        </w:rPr>
        <w:t xml:space="preserve">The Canadian Entomologist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 1037–1039.</w:t>
      </w:r>
    </w:p>
    <w:p>
      <w:pPr>
        <w:widowControl w:val="on"/>
        <w:pBdr/>
        <w:spacing w:before="220" w:after="220" w:line="240" w:lineRule="auto"/>
        <w:ind w:left="0" w:right="0"/>
        <w:jc w:val="left"/>
      </w:pPr>
      <w:r>
        <w:rPr>
          <w:rFonts w:ascii="Calibri" w:hAnsi="Calibri" w:eastAsia="Calibri" w:cs="Calibri"/>
          <w:color w:val="000000"/>
          <w:sz w:val="22"/>
          <w:szCs w:val="22"/>
        </w:rPr>
        <w:t xml:space="preserve">Dunn JP, Potter DA &amp; Kimmerer TW (1990) Attraction of the twolined chestnut borer (Coleoptera: Buprestidae) to scarlet oaks infected with chestnut blight fungus.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239–243.</w:t>
      </w:r>
    </w:p>
    <w:p>
      <w:pPr>
        <w:widowControl w:val="on"/>
        <w:pBdr/>
        <w:spacing w:before="220" w:after="220" w:line="240" w:lineRule="auto"/>
        <w:ind w:left="0" w:right="0"/>
        <w:jc w:val="left"/>
      </w:pPr>
      <w:r>
        <w:rPr>
          <w:rFonts w:ascii="Calibri" w:hAnsi="Calibri" w:eastAsia="Calibri" w:cs="Calibri"/>
          <w:color w:val="000000"/>
          <w:sz w:val="22"/>
          <w:szCs w:val="22"/>
        </w:rPr>
        <w:t xml:space="preserve">Eaton E, Caudullo G, Oliveira S &amp; de Rigo D. (2016) </w:t>
      </w:r>
      <w:r>
        <w:rPr>
          <w:rFonts w:ascii="Calibri" w:hAnsi="Calibri" w:eastAsia="Calibri" w:cs="Calibri"/>
          <w:i/>
          <w:iCs/>
          <w:color w:val="000000"/>
          <w:sz w:val="22"/>
          <w:szCs w:val="22"/>
        </w:rPr>
        <w:t xml:space="preserve">Quercus robur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Quercus petraea </w:t>
      </w:r>
      <w:r>
        <w:rPr>
          <w:rFonts w:ascii="Calibri" w:hAnsi="Calibri" w:eastAsia="Calibri" w:cs="Calibri"/>
          <w:color w:val="000000"/>
          <w:sz w:val="22"/>
          <w:szCs w:val="22"/>
        </w:rPr>
        <w:t xml:space="preserve">in Europe: distribution, habitat, usage and threats. In </w:t>
      </w:r>
      <w:r>
        <w:rPr>
          <w:rFonts w:ascii="Calibri" w:hAnsi="Calibri" w:eastAsia="Calibri" w:cs="Calibri"/>
          <w:i/>
          <w:iCs/>
          <w:color w:val="000000"/>
          <w:sz w:val="22"/>
          <w:szCs w:val="22"/>
        </w:rPr>
        <w:t xml:space="preserve">European Atlas of Forest Tree Species </w:t>
      </w:r>
      <w:r>
        <w:rPr>
          <w:rFonts w:ascii="Calibri" w:hAnsi="Calibri" w:eastAsia="Calibri" w:cs="Calibri"/>
          <w:color w:val="000000"/>
          <w:sz w:val="22"/>
          <w:szCs w:val="22"/>
        </w:rPr>
        <w:t xml:space="preserve">(Ed. San-Miguel-Ayanz J, De Rigo D, Caudullo G, Houston Durrant T &amp; Mauri A), pp. 160–163. Publication Office of the European Union, Luxembourg.</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Pest Alert List: </w:t>
      </w:r>
      <w:r>
        <w:rPr>
          <w:rFonts w:ascii="Calibri" w:hAnsi="Calibri" w:eastAsia="Calibri" w:cs="Calibri"/>
          <w:i/>
          <w:iCs/>
          <w:color w:val="000000"/>
          <w:sz w:val="22"/>
          <w:szCs w:val="22"/>
        </w:rPr>
        <w:t xml:space="preserve">Agrilus bilineatus </w:t>
      </w:r>
      <w:r>
        <w:rPr>
          <w:rFonts w:ascii="Calibri" w:hAnsi="Calibri" w:eastAsia="Calibri" w:cs="Calibri"/>
          <w:color w:val="000000"/>
          <w:sz w:val="22"/>
          <w:szCs w:val="22"/>
        </w:rPr>
        <w:t xml:space="preserve">(Coleoptera: Buprestidae). </w:t>
      </w:r>
      <w:hyperlink r:id="rId9533664b36be60288" w:history="1">
        <w:r>
          <w:rPr>
            <w:rFonts w:ascii="Calibri" w:hAnsi="Calibri" w:eastAsia="Calibri" w:cs="Calibri"/>
            <w:color w:val="0000CC"/>
            <w:sz w:val="22"/>
            <w:szCs w:val="22"/>
            <w:u w:val="single"/>
          </w:rPr>
          <w:t xml:space="preserve">https://gd.eppo.int/taxon/AGRLBL/documents</w:t>
        </w:r>
      </w:hyperlink>
      <w:r>
        <w:rPr>
          <w:rFonts w:ascii="Calibri" w:hAnsi="Calibri" w:eastAsia="Calibri" w:cs="Calibri"/>
          <w:color w:val="000000"/>
          <w:sz w:val="22"/>
          <w:szCs w:val="22"/>
        </w:rPr>
        <w:t xml:space="preserve"> [accessed on 01 August 2019]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Document 19-24767 Pest Risk Analysis for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w:t>
      </w:r>
      <w:hyperlink r:id="rId4249664b36be602ea" w:history="1">
        <w:r>
          <w:rPr>
            <w:rFonts w:ascii="Calibri" w:hAnsi="Calibri" w:eastAsia="Calibri" w:cs="Calibri"/>
            <w:color w:val="0000CC"/>
            <w:sz w:val="22"/>
            <w:szCs w:val="22"/>
            <w:u w:val="single"/>
          </w:rPr>
          <w:t xml:space="preserve">https://gd.eppo.int/taxon/AGRLBL/documents</w:t>
        </w:r>
      </w:hyperlink>
      <w:r>
        <w:rPr>
          <w:rFonts w:ascii="Calibri" w:hAnsi="Calibri" w:eastAsia="Calibri" w:cs="Calibri"/>
          <w:color w:val="000000"/>
          <w:sz w:val="22"/>
          <w:szCs w:val="22"/>
        </w:rPr>
        <w:t xml:space="preserve"> [accessed on 01 August 2019]</w:t>
      </w:r>
    </w:p>
    <w:p>
      <w:pPr>
        <w:widowControl w:val="on"/>
        <w:pBdr/>
        <w:spacing w:before="220" w:after="220" w:line="240" w:lineRule="auto"/>
        <w:ind w:left="0" w:right="0"/>
        <w:jc w:val="left"/>
      </w:pPr>
      <w:r>
        <w:rPr>
          <w:rFonts w:ascii="Calibri" w:hAnsi="Calibri" w:eastAsia="Calibri" w:cs="Calibri"/>
          <w:color w:val="000000"/>
          <w:sz w:val="22"/>
          <w:szCs w:val="22"/>
        </w:rPr>
        <w:t xml:space="preserve">Evans HF, Moraal LG &amp; Pajares JA (2004) Biology, ecology and economic importance of Buprestidae and Cerambycidae. In</w:t>
      </w:r>
      <w:r>
        <w:rPr>
          <w:rFonts w:ascii="Calibri" w:hAnsi="Calibri" w:eastAsia="Calibri" w:cs="Calibri"/>
          <w:i/>
          <w:iCs/>
          <w:color w:val="000000"/>
          <w:sz w:val="22"/>
          <w:szCs w:val="22"/>
        </w:rPr>
        <w:t xml:space="preserve"> Bark and Wood Boring Insects in Living Trees in Europe, a Synthesis</w:t>
      </w:r>
      <w:r>
        <w:rPr>
          <w:rFonts w:ascii="Calibri" w:hAnsi="Calibri" w:eastAsia="Calibri" w:cs="Calibri"/>
          <w:color w:val="000000"/>
          <w:sz w:val="22"/>
          <w:szCs w:val="22"/>
        </w:rPr>
        <w:t xml:space="preserve"> (Eds Lieutier F, Day RK, Battisti A, Gregoire J-C &amp; Evans FH), pp. 447–474. Kluwer Academic Publishers, Dordrecht (NL).</w:t>
      </w:r>
    </w:p>
    <w:p>
      <w:pPr>
        <w:widowControl w:val="on"/>
        <w:pBdr/>
        <w:spacing w:before="220" w:after="220" w:line="240" w:lineRule="auto"/>
        <w:ind w:left="0" w:right="0"/>
        <w:jc w:val="left"/>
      </w:pPr>
      <w:r>
        <w:rPr>
          <w:rFonts w:ascii="Calibri" w:hAnsi="Calibri" w:eastAsia="Calibri" w:cs="Calibri"/>
          <w:color w:val="000000"/>
          <w:sz w:val="22"/>
          <w:szCs w:val="22"/>
        </w:rPr>
        <w:t xml:space="preserve">Fauske G. (2018) Personal communication on 27 August 2018 providing collection records of Agrilus bilineatus in North Dakota based on specimens housed in the North Dakota State University insect Collection. Email message on file at EPPO.</w:t>
      </w:r>
    </w:p>
    <w:p>
      <w:pPr>
        <w:widowControl w:val="on"/>
        <w:pBdr/>
        <w:spacing w:before="220" w:after="220" w:line="240" w:lineRule="auto"/>
        <w:ind w:left="0" w:right="0"/>
        <w:jc w:val="left"/>
      </w:pPr>
      <w:r>
        <w:rPr>
          <w:rFonts w:ascii="Calibri" w:hAnsi="Calibri" w:eastAsia="Calibri" w:cs="Calibri"/>
          <w:color w:val="000000"/>
          <w:sz w:val="22"/>
          <w:szCs w:val="22"/>
        </w:rPr>
        <w:t xml:space="preserve">Felt EP (1924) Manual of Tree and Shrub Insects. MacMillan Co, New York (US).</w:t>
      </w:r>
    </w:p>
    <w:p>
      <w:pPr>
        <w:widowControl w:val="on"/>
        <w:pBdr/>
        <w:spacing w:before="220" w:after="220" w:line="240" w:lineRule="auto"/>
        <w:ind w:left="0" w:right="0"/>
        <w:jc w:val="left"/>
      </w:pPr>
      <w:r>
        <w:rPr>
          <w:rFonts w:ascii="Calibri" w:hAnsi="Calibri" w:eastAsia="Calibri" w:cs="Calibri"/>
          <w:color w:val="000000"/>
          <w:sz w:val="22"/>
          <w:szCs w:val="22"/>
        </w:rPr>
        <w:t xml:space="preserve">Felt EP (1935) The important shade tree insects in 1934.</w:t>
      </w:r>
      <w:r>
        <w:rPr>
          <w:rFonts w:ascii="Calibri" w:hAnsi="Calibri" w:eastAsia="Calibri" w:cs="Calibri"/>
          <w:i/>
          <w:iCs/>
          <w:color w:val="000000"/>
          <w:sz w:val="22"/>
          <w:szCs w:val="22"/>
        </w:rPr>
        <w:t xml:space="preserve"> 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390–393.</w:t>
      </w:r>
    </w:p>
    <w:p>
      <w:pPr>
        <w:widowControl w:val="on"/>
        <w:pBdr/>
        <w:spacing w:before="220" w:after="220" w:line="240" w:lineRule="auto"/>
        <w:ind w:left="0" w:right="0"/>
        <w:jc w:val="left"/>
      </w:pPr>
      <w:r>
        <w:rPr>
          <w:rFonts w:ascii="Calibri" w:hAnsi="Calibri" w:eastAsia="Calibri" w:cs="Calibri"/>
          <w:color w:val="000000"/>
          <w:sz w:val="22"/>
          <w:szCs w:val="22"/>
        </w:rPr>
        <w:t xml:space="preserve">Felt EP &amp; Bromley SW (1931) Observations on shade tree insects.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157–162.</w:t>
      </w:r>
    </w:p>
    <w:p>
      <w:pPr>
        <w:widowControl w:val="on"/>
        <w:pBdr/>
        <w:spacing w:before="220" w:after="220" w:line="240" w:lineRule="auto"/>
        <w:ind w:left="0" w:right="0"/>
        <w:jc w:val="left"/>
      </w:pPr>
      <w:r>
        <w:rPr>
          <w:rFonts w:ascii="Calibri" w:hAnsi="Calibri" w:eastAsia="Calibri" w:cs="Calibri"/>
          <w:color w:val="000000"/>
          <w:sz w:val="22"/>
          <w:szCs w:val="22"/>
        </w:rPr>
        <w:t xml:space="preserve">Felt EP &amp; Bromley SW (1932) Observations on shade tree insects.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39–46.</w:t>
      </w:r>
    </w:p>
    <w:p>
      <w:pPr>
        <w:widowControl w:val="on"/>
        <w:pBdr/>
        <w:spacing w:before="220" w:after="220" w:line="240" w:lineRule="auto"/>
        <w:ind w:left="0" w:right="0"/>
        <w:jc w:val="left"/>
      </w:pPr>
      <w:r>
        <w:rPr>
          <w:rFonts w:ascii="Calibri" w:hAnsi="Calibri" w:eastAsia="Calibri" w:cs="Calibri"/>
          <w:color w:val="000000"/>
          <w:sz w:val="22"/>
          <w:szCs w:val="22"/>
        </w:rPr>
        <w:t xml:space="preserve">Fisher WS (1928) A revision of the North American species of buprestid beetles belonging to the genus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United States National Museum Bulletin 145. Washington DC.</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(1980) The Biology and Ecology of the Twolined Chestnut Borer,</w:t>
      </w:r>
      <w:r>
        <w:rPr>
          <w:rFonts w:ascii="Calibri" w:hAnsi="Calibri" w:eastAsia="Calibri" w:cs="Calibri"/>
          <w:i/>
          <w:iCs/>
          <w:color w:val="000000"/>
          <w:sz w:val="22"/>
          <w:szCs w:val="22"/>
        </w:rPr>
        <w:t xml:space="preserve"> Agrilus bilineatus</w:t>
      </w:r>
      <w:r>
        <w:rPr>
          <w:rFonts w:ascii="Calibri" w:hAnsi="Calibri" w:eastAsia="Calibri" w:cs="Calibri"/>
          <w:color w:val="000000"/>
          <w:sz w:val="22"/>
          <w:szCs w:val="22"/>
        </w:rPr>
        <w:t xml:space="preserve">, in Southern Wisconsin. Master’s Thesis, Department of Entomology, University of Wisconsin, Madison.</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(1985) Management prescriptions for the twolined chestnut borer. In C</w:t>
      </w:r>
      <w:r>
        <w:rPr>
          <w:rFonts w:ascii="Calibri" w:hAnsi="Calibri" w:eastAsia="Calibri" w:cs="Calibri"/>
          <w:i/>
          <w:iCs/>
          <w:color w:val="000000"/>
          <w:sz w:val="22"/>
          <w:szCs w:val="22"/>
        </w:rPr>
        <w:t xml:space="preserve">hallenges in Oak Management and Utilization Proceedings</w:t>
      </w:r>
      <w:r>
        <w:rPr>
          <w:rFonts w:ascii="Calibri" w:hAnsi="Calibri" w:eastAsia="Calibri" w:cs="Calibri"/>
          <w:color w:val="000000"/>
          <w:sz w:val="22"/>
          <w:szCs w:val="22"/>
        </w:rPr>
        <w:t xml:space="preserve"> (Ed. Johnson J), pp. 42–53. Cooperative Extension Service, University Wisconsin, Madison (US).</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(1986) English oaks in Michigan: Are they susceptible to two-lined chestnut borer? </w:t>
      </w:r>
      <w:r>
        <w:rPr>
          <w:rFonts w:ascii="Calibri" w:hAnsi="Calibri" w:eastAsia="Calibri" w:cs="Calibri"/>
          <w:i/>
          <w:iCs/>
          <w:color w:val="000000"/>
          <w:sz w:val="22"/>
          <w:szCs w:val="22"/>
        </w:rPr>
        <w:t xml:space="preserve">Newsletter of the Michigan Entomological Society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(4), 6.</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&amp; Acciavatti RE (1992) Twolined chestnut borer. Forest Insect &amp; Disease Leaflet, 168. USDA Forest Service, Washington (US)</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&amp; Benjamin DM (1980a) Influence of time of summer felling of infested oaks on larval development and adult emergence of the twolined chestnut borer,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University Wisconsin Forestry Research Note 236.</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&amp; Benjamin DM (1980b) Insecticidal control of the twolined chestnut borer,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in oak bark in May. University Wisconsin Forestry Research Note 237.</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&amp; Benjamin DM (1982) The biology and ecology of the twolined chestnut borer,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(Coleoptera: Buprestidae), on oaks,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spp., in Wisconsin. </w:t>
      </w:r>
      <w:r>
        <w:rPr>
          <w:rFonts w:ascii="Calibri" w:hAnsi="Calibri" w:eastAsia="Calibri" w:cs="Calibri"/>
          <w:i/>
          <w:iCs/>
          <w:color w:val="000000"/>
          <w:sz w:val="22"/>
          <w:szCs w:val="22"/>
        </w:rPr>
        <w:t xml:space="preserve">The Canadian Entomologist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385–396.</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Benjamin DM &amp; Haack KD (1983) Buprestidae, Cerambycidae, and Scolytidae associated with successive stages of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(Coleoptera: Buprestidae) infestations of oaks in Wisconsin. </w:t>
      </w:r>
      <w:r>
        <w:rPr>
          <w:rFonts w:ascii="Calibri" w:hAnsi="Calibri" w:eastAsia="Calibri" w:cs="Calibri"/>
          <w:i/>
          <w:iCs/>
          <w:color w:val="000000"/>
          <w:sz w:val="22"/>
          <w:szCs w:val="22"/>
        </w:rPr>
        <w:t xml:space="preserve">Great Lakes Entomologist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47–55.</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Benjamin DM &amp; Schuh BA (1981) Observations on the biology of </w:t>
      </w:r>
      <w:r>
        <w:rPr>
          <w:rFonts w:ascii="Calibri" w:hAnsi="Calibri" w:eastAsia="Calibri" w:cs="Calibri"/>
          <w:i/>
          <w:iCs/>
          <w:color w:val="000000"/>
          <w:sz w:val="22"/>
          <w:szCs w:val="22"/>
        </w:rPr>
        <w:t xml:space="preserve">Phasgonophora </w:t>
      </w:r>
      <w:r>
        <w:rPr>
          <w:rFonts w:ascii="Calibri" w:hAnsi="Calibri" w:eastAsia="Calibri" w:cs="Calibri"/>
          <w:i/>
          <w:iCs/>
          <w:color w:val="000000"/>
          <w:sz w:val="22"/>
          <w:szCs w:val="22"/>
        </w:rPr>
        <w:t xml:space="preserve">sulcata </w:t>
      </w:r>
      <w:r>
        <w:rPr>
          <w:rFonts w:ascii="Calibri" w:hAnsi="Calibri" w:eastAsia="Calibri" w:cs="Calibri"/>
          <w:color w:val="000000"/>
          <w:sz w:val="22"/>
          <w:szCs w:val="22"/>
        </w:rPr>
        <w:t xml:space="preserve">(Hymenoptera: Chalcididae), a larval parasitoid of the twolined chestnut borer, </w:t>
      </w:r>
      <w:r>
        <w:rPr>
          <w:rFonts w:ascii="Calibri" w:hAnsi="Calibri" w:eastAsia="Calibri" w:cs="Calibri"/>
          <w:i/>
          <w:iCs/>
          <w:color w:val="000000"/>
          <w:sz w:val="22"/>
          <w:szCs w:val="22"/>
        </w:rPr>
        <w:t xml:space="preserve">Agrilus bilineatus </w:t>
      </w:r>
      <w:r>
        <w:rPr>
          <w:rFonts w:ascii="Calibri" w:hAnsi="Calibri" w:eastAsia="Calibri" w:cs="Calibri"/>
          <w:color w:val="000000"/>
          <w:sz w:val="22"/>
          <w:szCs w:val="22"/>
        </w:rPr>
        <w:t xml:space="preserve">(Coleoptera: Buprestidae), in Wisconsin. </w:t>
      </w:r>
      <w:r>
        <w:rPr>
          <w:rFonts w:ascii="Calibri" w:hAnsi="Calibri" w:eastAsia="Calibri" w:cs="Calibri"/>
          <w:i/>
          <w:iCs/>
          <w:color w:val="000000"/>
          <w:sz w:val="22"/>
          <w:szCs w:val="22"/>
        </w:rPr>
        <w:t xml:space="preserve">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113–116.</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&amp; Mattson WJ (1989) They nibbled while the forests burned. Natural History 98, 56–57.</w:t>
      </w:r>
    </w:p>
    <w:p>
      <w:pPr>
        <w:widowControl w:val="on"/>
        <w:pBdr/>
        <w:spacing w:before="220" w:after="220" w:line="240" w:lineRule="auto"/>
        <w:ind w:left="0" w:right="0"/>
        <w:jc w:val="left"/>
      </w:pPr>
      <w:r>
        <w:rPr>
          <w:rFonts w:ascii="Calibri" w:hAnsi="Calibri" w:eastAsia="Calibri" w:cs="Calibri"/>
          <w:color w:val="000000"/>
          <w:sz w:val="22"/>
          <w:szCs w:val="22"/>
        </w:rPr>
        <w:t xml:space="preserve">Hansen JA, Basham JP, Oliver JB, Youseef NN, Klingeman WE, Moulton JK et al. (2012) New state and host plant records for metallic wood-boring beetles (Coleoptera: Buprestidae) in Tennessee, U.S.A. </w:t>
      </w:r>
      <w:r>
        <w:rPr>
          <w:rFonts w:ascii="Calibri" w:hAnsi="Calibri" w:eastAsia="Calibri" w:cs="Calibri"/>
          <w:i/>
          <w:iCs/>
          <w:color w:val="000000"/>
          <w:sz w:val="22"/>
          <w:szCs w:val="22"/>
        </w:rPr>
        <w:t xml:space="preserve">The Coleopterists Bulletin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337–343.</w:t>
      </w:r>
    </w:p>
    <w:p>
      <w:pPr>
        <w:widowControl w:val="on"/>
        <w:pBdr/>
        <w:spacing w:before="220" w:after="220" w:line="240" w:lineRule="auto"/>
        <w:ind w:left="0" w:right="0"/>
        <w:jc w:val="left"/>
      </w:pPr>
      <w:r>
        <w:rPr>
          <w:rFonts w:ascii="Calibri" w:hAnsi="Calibri" w:eastAsia="Calibri" w:cs="Calibri"/>
          <w:color w:val="000000"/>
          <w:sz w:val="22"/>
          <w:szCs w:val="22"/>
        </w:rPr>
        <w:t xml:space="preserve">Herms DA, McCullough DG, Smitley DR, Sadof CS, Williamson RC &amp; Nixon PL (2014) Insecticide options for protecting ash trees from emerald ash borer. North Central IPM Center Bulletin. Online at: </w:t>
      </w:r>
      <w:hyperlink r:id="rId9047664b36be6086e" w:history="1">
        <w:r>
          <w:rPr>
            <w:rFonts w:ascii="Calibri" w:hAnsi="Calibri" w:eastAsia="Calibri" w:cs="Calibri"/>
            <w:color w:val="0000CC"/>
            <w:sz w:val="22"/>
            <w:szCs w:val="22"/>
            <w:u w:val="single"/>
          </w:rPr>
          <w:t xml:space="preserve">http://www.emeraldashborer.info/files/Multistate_EAB_Insecticide_Fact_Sheet.pdf</w:t>
        </w:r>
      </w:hyperlink>
      <w:r>
        <w:rPr>
          <w:rFonts w:ascii="Calibri" w:hAnsi="Calibri" w:eastAsia="Calibri" w:cs="Calibri"/>
          <w:color w:val="000000"/>
          <w:sz w:val="22"/>
          <w:szCs w:val="22"/>
        </w:rPr>
        <w:t xml:space="preserve"> [accessed on 01 August 2019].</w:t>
      </w:r>
    </w:p>
    <w:p>
      <w:pPr>
        <w:widowControl w:val="on"/>
        <w:pBdr/>
        <w:spacing w:before="220" w:after="220" w:line="240" w:lineRule="auto"/>
        <w:ind w:left="0" w:right="0"/>
        <w:jc w:val="left"/>
      </w:pPr>
      <w:r>
        <w:rPr>
          <w:rFonts w:ascii="Calibri" w:hAnsi="Calibri" w:eastAsia="Calibri" w:cs="Calibri"/>
          <w:color w:val="000000"/>
          <w:sz w:val="22"/>
          <w:szCs w:val="22"/>
        </w:rPr>
        <w:t xml:space="preserve">Hızal E &amp; Arslangündogdu Z (2018) The first record of two-lined chestnut borer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(Weber, 1801) (Coleoptera: Buprestidae) from Europe. </w:t>
      </w:r>
      <w:r>
        <w:rPr>
          <w:rFonts w:ascii="Calibri" w:hAnsi="Calibri" w:eastAsia="Calibri" w:cs="Calibri"/>
          <w:i/>
          <w:iCs/>
          <w:color w:val="000000"/>
          <w:sz w:val="22"/>
          <w:szCs w:val="22"/>
        </w:rPr>
        <w:t xml:space="preserve">Entomological News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127</w:t>
      </w:r>
      <w:r>
        <w:rPr>
          <w:rFonts w:ascii="Calibri" w:hAnsi="Calibri" w:eastAsia="Calibri" w:cs="Calibri"/>
          <w:color w:val="000000"/>
          <w:sz w:val="22"/>
          <w:szCs w:val="22"/>
        </w:rPr>
        <w:t xml:space="preserve">, 333–335.</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AD (1892) Some bred West Virginia Braconidae. </w:t>
      </w:r>
      <w:r>
        <w:rPr>
          <w:rFonts w:ascii="Calibri" w:hAnsi="Calibri" w:eastAsia="Calibri" w:cs="Calibri"/>
          <w:i/>
          <w:iCs/>
          <w:color w:val="000000"/>
          <w:sz w:val="22"/>
          <w:szCs w:val="22"/>
        </w:rPr>
        <w:t xml:space="preserve">Insect Life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256–259.</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AD (1894) Notes on some discoveries and observations of the year in West Virginia. </w:t>
      </w:r>
      <w:r>
        <w:rPr>
          <w:rFonts w:ascii="Calibri" w:hAnsi="Calibri" w:eastAsia="Calibri" w:cs="Calibri"/>
          <w:i/>
          <w:iCs/>
          <w:color w:val="000000"/>
          <w:sz w:val="22"/>
          <w:szCs w:val="22"/>
        </w:rPr>
        <w:t xml:space="preserve">Insect Life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145–151.</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AD (1904) Insect injuries to hardwood forest trees, pp. 313–328. Yearbook of the United States Department of Agriculture 1903, Washington (US).</w:t>
      </w:r>
    </w:p>
    <w:p>
      <w:pPr>
        <w:widowControl w:val="on"/>
        <w:pBdr/>
        <w:spacing w:before="220" w:after="220" w:line="240" w:lineRule="auto"/>
        <w:ind w:left="0" w:right="0"/>
        <w:jc w:val="left"/>
      </w:pPr>
      <w:r>
        <w:rPr>
          <w:rFonts w:ascii="Calibri" w:hAnsi="Calibri" w:eastAsia="Calibri" w:cs="Calibri"/>
          <w:color w:val="000000"/>
          <w:sz w:val="22"/>
          <w:szCs w:val="22"/>
        </w:rPr>
        <w:t xml:space="preserve">Horn GH (1891) The species of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of boreal America. T</w:t>
      </w:r>
      <w:r>
        <w:rPr>
          <w:rFonts w:ascii="Calibri" w:hAnsi="Calibri" w:eastAsia="Calibri" w:cs="Calibri"/>
          <w:i/>
          <w:iCs/>
          <w:color w:val="000000"/>
          <w:sz w:val="22"/>
          <w:szCs w:val="22"/>
        </w:rPr>
        <w:t xml:space="preserve">ransactions of the American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277–336.</w:t>
      </w:r>
    </w:p>
    <w:p>
      <w:pPr>
        <w:widowControl w:val="on"/>
        <w:pBdr/>
        <w:spacing w:before="220" w:after="220" w:line="240" w:lineRule="auto"/>
        <w:ind w:left="0" w:right="0"/>
        <w:jc w:val="left"/>
      </w:pPr>
      <w:r>
        <w:rPr>
          <w:rFonts w:ascii="Calibri" w:hAnsi="Calibri" w:eastAsia="Calibri" w:cs="Calibri"/>
          <w:color w:val="000000"/>
          <w:sz w:val="22"/>
          <w:szCs w:val="22"/>
        </w:rPr>
        <w:t xml:space="preserve">Hursh CR &amp; Haasis FW (1931) Effects of 1925 summer drought on southern Appalachian hardwoods. </w:t>
      </w:r>
      <w:r>
        <w:rPr>
          <w:rFonts w:ascii="Calibri" w:hAnsi="Calibri" w:eastAsia="Calibri" w:cs="Calibri"/>
          <w:i/>
          <w:iCs/>
          <w:color w:val="000000"/>
          <w:sz w:val="22"/>
          <w:szCs w:val="22"/>
        </w:rPr>
        <w:t xml:space="preserve">Ecology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380–386.</w:t>
      </w:r>
    </w:p>
    <w:p>
      <w:pPr>
        <w:widowControl w:val="on"/>
        <w:pBdr/>
        <w:spacing w:before="220" w:after="220" w:line="240" w:lineRule="auto"/>
        <w:ind w:left="0" w:right="0"/>
        <w:jc w:val="left"/>
      </w:pPr>
      <w:r>
        <w:rPr>
          <w:rFonts w:ascii="Calibri" w:hAnsi="Calibri" w:eastAsia="Calibri" w:cs="Calibri"/>
          <w:color w:val="000000"/>
          <w:sz w:val="22"/>
          <w:szCs w:val="22"/>
        </w:rPr>
        <w:t xml:space="preserve">Jendek E (2016) Taxonomic, nomenclatural, distributional and biological study of the genus Agrilus (Coleoptera: Buprestidae).</w:t>
      </w:r>
      <w:r>
        <w:rPr>
          <w:rFonts w:ascii="Calibri" w:hAnsi="Calibri" w:eastAsia="Calibri" w:cs="Calibri"/>
          <w:i/>
          <w:iCs/>
          <w:color w:val="000000"/>
          <w:sz w:val="22"/>
          <w:szCs w:val="22"/>
        </w:rPr>
        <w:t xml:space="preserve"> Journal of Insect Biodiversity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(2), 1–57.</w:t>
      </w:r>
    </w:p>
    <w:p>
      <w:pPr>
        <w:widowControl w:val="on"/>
        <w:pBdr/>
        <w:spacing w:before="220" w:after="220" w:line="240" w:lineRule="auto"/>
        <w:ind w:left="0" w:right="0"/>
        <w:jc w:val="left"/>
      </w:pPr>
      <w:r>
        <w:rPr>
          <w:rFonts w:ascii="Calibri" w:hAnsi="Calibri" w:eastAsia="Calibri" w:cs="Calibri"/>
          <w:color w:val="000000"/>
          <w:sz w:val="22"/>
          <w:szCs w:val="22"/>
        </w:rPr>
        <w:t xml:space="preserve">Jendek E &amp; Poláková J (2014) Host Plants of World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(Coleoptera, Buprestidae) A Critical Review. Springer, Cham (CH).</w:t>
      </w:r>
    </w:p>
    <w:p>
      <w:pPr>
        <w:widowControl w:val="on"/>
        <w:pBdr/>
        <w:spacing w:before="220" w:after="220" w:line="240" w:lineRule="auto"/>
        <w:ind w:left="0" w:right="0"/>
        <w:jc w:val="left"/>
      </w:pPr>
      <w:r>
        <w:rPr>
          <w:rFonts w:ascii="Calibri" w:hAnsi="Calibri" w:eastAsia="Calibri" w:cs="Calibri"/>
          <w:color w:val="000000"/>
          <w:sz w:val="22"/>
          <w:szCs w:val="22"/>
        </w:rPr>
        <w:t xml:space="preserve">Jones MI, Coleman TW, Graves AD, Flint ML &amp; Seybold SJ (2013) Sanitation options for managing oak wood infested with the invasive goldspotted oak borer (Coleoptera: Buprestidae) in Southern California.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235–246.</w:t>
      </w:r>
    </w:p>
    <w:p>
      <w:pPr>
        <w:widowControl w:val="on"/>
        <w:pBdr/>
        <w:spacing w:before="220" w:after="220" w:line="240" w:lineRule="auto"/>
        <w:ind w:left="0" w:right="0"/>
        <w:jc w:val="left"/>
      </w:pPr>
      <w:r>
        <w:rPr>
          <w:rFonts w:ascii="Calibri" w:hAnsi="Calibri" w:eastAsia="Calibri" w:cs="Calibri"/>
          <w:color w:val="000000"/>
          <w:sz w:val="22"/>
          <w:szCs w:val="22"/>
        </w:rPr>
        <w:t xml:space="preserve">Kegg JD (1971) The impact of gypsy moth: repeated defoliation of oak in New Jersey. </w:t>
      </w:r>
      <w:r>
        <w:rPr>
          <w:rFonts w:ascii="Calibri" w:hAnsi="Calibri" w:eastAsia="Calibri" w:cs="Calibri"/>
          <w:i/>
          <w:iCs/>
          <w:color w:val="000000"/>
          <w:sz w:val="22"/>
          <w:szCs w:val="22"/>
        </w:rPr>
        <w:t xml:space="preserve">Journal of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852–854.</w:t>
      </w:r>
    </w:p>
    <w:p>
      <w:pPr>
        <w:widowControl w:val="on"/>
        <w:pBdr/>
        <w:spacing w:before="220" w:after="220" w:line="240" w:lineRule="auto"/>
        <w:ind w:left="0" w:right="0"/>
        <w:jc w:val="left"/>
      </w:pPr>
      <w:r>
        <w:rPr>
          <w:rFonts w:ascii="Calibri" w:hAnsi="Calibri" w:eastAsia="Calibri" w:cs="Calibri"/>
          <w:color w:val="000000"/>
          <w:sz w:val="22"/>
          <w:szCs w:val="22"/>
        </w:rPr>
        <w:t xml:space="preserve">Knull JN (1932) Observations on three important forest insects.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1196–1203.</w:t>
      </w:r>
    </w:p>
    <w:p>
      <w:pPr>
        <w:widowControl w:val="on"/>
        <w:pBdr/>
        <w:spacing w:before="220" w:after="220" w:line="240" w:lineRule="auto"/>
        <w:ind w:left="0" w:right="0"/>
        <w:jc w:val="left"/>
      </w:pPr>
      <w:r>
        <w:rPr>
          <w:rFonts w:ascii="Calibri" w:hAnsi="Calibri" w:eastAsia="Calibri" w:cs="Calibri"/>
          <w:color w:val="000000"/>
          <w:sz w:val="22"/>
          <w:szCs w:val="22"/>
        </w:rPr>
        <w:t xml:space="preserve">Koval CF &amp; Heimann HF (1997) </w:t>
      </w:r>
      <w:r>
        <w:rPr>
          <w:rFonts w:ascii="Calibri" w:hAnsi="Calibri" w:eastAsia="Calibri" w:cs="Calibri"/>
          <w:i/>
          <w:iCs/>
          <w:color w:val="000000"/>
          <w:sz w:val="22"/>
          <w:szCs w:val="22"/>
        </w:rPr>
        <w:t xml:space="preserve">A2902 oak disorder: twolined chestnut borer.</w:t>
      </w:r>
      <w:r>
        <w:rPr>
          <w:rFonts w:ascii="Calibri" w:hAnsi="Calibri" w:eastAsia="Calibri" w:cs="Calibri"/>
          <w:color w:val="000000"/>
          <w:sz w:val="22"/>
          <w:szCs w:val="22"/>
        </w:rPr>
        <w:t xml:space="preserve"> Cooperative Extension Service, University Wisconsin, Madison (US).</w:t>
      </w:r>
    </w:p>
    <w:p>
      <w:pPr>
        <w:widowControl w:val="on"/>
        <w:pBdr/>
        <w:spacing w:before="220" w:after="220" w:line="240" w:lineRule="auto"/>
        <w:ind w:left="0" w:right="0"/>
        <w:jc w:val="left"/>
      </w:pPr>
      <w:r>
        <w:rPr>
          <w:rFonts w:ascii="Calibri" w:hAnsi="Calibri" w:eastAsia="Calibri" w:cs="Calibri"/>
          <w:color w:val="000000"/>
          <w:sz w:val="22"/>
          <w:szCs w:val="22"/>
        </w:rPr>
        <w:t xml:space="preserve">Lelito PL, Fraser I, Mastro VC, Tumlinson JH, Böröczky K &amp; Baker TC (2007) Visually mediated paratrooper copulations’ in the mating behavior of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(Coleoptera: Buprestidae), a highly destructive invasive pest of North American ash trees. </w:t>
      </w:r>
      <w:r>
        <w:rPr>
          <w:rFonts w:ascii="Calibri" w:hAnsi="Calibri" w:eastAsia="Calibri" w:cs="Calibri"/>
          <w:i/>
          <w:iCs/>
          <w:color w:val="000000"/>
          <w:sz w:val="22"/>
          <w:szCs w:val="22"/>
        </w:rPr>
        <w:t xml:space="preserve">Journal of Insect Behavior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537–552.</w:t>
      </w:r>
    </w:p>
    <w:p>
      <w:pPr>
        <w:widowControl w:val="on"/>
        <w:pBdr/>
        <w:spacing w:before="220" w:after="220" w:line="240" w:lineRule="auto"/>
        <w:ind w:left="0" w:right="0"/>
        <w:jc w:val="left"/>
      </w:pPr>
      <w:r>
        <w:rPr>
          <w:rFonts w:ascii="Calibri" w:hAnsi="Calibri" w:eastAsia="Calibri" w:cs="Calibri"/>
          <w:color w:val="000000"/>
          <w:sz w:val="22"/>
          <w:szCs w:val="22"/>
        </w:rPr>
        <w:t xml:space="preserve">Lewis R (1987) Trunk injury and fungal transport by </w:t>
      </w:r>
      <w:r>
        <w:rPr>
          <w:rFonts w:ascii="Calibri" w:hAnsi="Calibri" w:eastAsia="Calibri" w:cs="Calibri"/>
          <w:i/>
          <w:iCs/>
          <w:color w:val="000000"/>
          <w:sz w:val="22"/>
          <w:szCs w:val="22"/>
        </w:rPr>
        <w:t xml:space="preserve">Agrilus bilineatus, Chrysobothris femorata,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Xyloterinus </w:t>
      </w:r>
      <w:r>
        <w:rPr>
          <w:rFonts w:ascii="Calibri" w:hAnsi="Calibri" w:eastAsia="Calibri" w:cs="Calibri"/>
          <w:color w:val="000000"/>
          <w:sz w:val="22"/>
          <w:szCs w:val="22"/>
        </w:rPr>
        <w:t xml:space="preserve">sp. in oak wilt infected trees in Texas. </w:t>
      </w:r>
      <w:r>
        <w:rPr>
          <w:rFonts w:ascii="Calibri" w:hAnsi="Calibri" w:eastAsia="Calibri" w:cs="Calibri"/>
          <w:i/>
          <w:iCs/>
          <w:color w:val="000000"/>
          <w:sz w:val="22"/>
          <w:szCs w:val="22"/>
        </w:rPr>
        <w:t xml:space="preserve">Journal of the Mississippi Academy of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41–46.</w:t>
      </w:r>
    </w:p>
    <w:p>
      <w:pPr>
        <w:widowControl w:val="on"/>
        <w:pBdr/>
        <w:spacing w:before="220" w:after="220" w:line="240" w:lineRule="auto"/>
        <w:ind w:left="0" w:right="0"/>
        <w:jc w:val="left"/>
      </w:pPr>
      <w:r>
        <w:rPr>
          <w:rFonts w:ascii="Calibri" w:hAnsi="Calibri" w:eastAsia="Calibri" w:cs="Calibri"/>
          <w:color w:val="000000"/>
          <w:sz w:val="22"/>
          <w:szCs w:val="22"/>
        </w:rPr>
        <w:t xml:space="preserve">Mattson WJ &amp; Haack RA (1987) The role of drought in outbreaks of plant-eating insects. </w:t>
      </w:r>
      <w:r>
        <w:rPr>
          <w:rFonts w:ascii="Calibri" w:hAnsi="Calibri" w:eastAsia="Calibri" w:cs="Calibri"/>
          <w:i/>
          <w:iCs/>
          <w:color w:val="000000"/>
          <w:sz w:val="22"/>
          <w:szCs w:val="22"/>
        </w:rPr>
        <w:t xml:space="preserve">BioScience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110–118.</w:t>
      </w:r>
    </w:p>
    <w:p>
      <w:pPr>
        <w:widowControl w:val="on"/>
        <w:pBdr/>
        <w:spacing w:before="220" w:after="220" w:line="240" w:lineRule="auto"/>
        <w:ind w:left="0" w:right="0"/>
        <w:jc w:val="left"/>
      </w:pPr>
      <w:r>
        <w:rPr>
          <w:rFonts w:ascii="Calibri" w:hAnsi="Calibri" w:eastAsia="Calibri" w:cs="Calibri"/>
          <w:color w:val="000000"/>
          <w:sz w:val="22"/>
          <w:szCs w:val="22"/>
        </w:rPr>
        <w:t xml:space="preserve">McCullough DG, Poland TM, Anulewicz AC, Lewis P &amp; Cappaert D (2011) Evaluation of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control provided by emamectin benzoate and two neonicotinoid insecticides, one and two seasons after treatment.</w:t>
      </w:r>
      <w:r>
        <w:rPr>
          <w:rFonts w:ascii="Calibri" w:hAnsi="Calibri" w:eastAsia="Calibri" w:cs="Calibri"/>
          <w:i/>
          <w:iCs/>
          <w:color w:val="000000"/>
          <w:sz w:val="22"/>
          <w:szCs w:val="22"/>
        </w:rPr>
        <w:t xml:space="preserve"> Journal of Economic Entomology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1599–612.</w:t>
      </w:r>
    </w:p>
    <w:p>
      <w:pPr>
        <w:widowControl w:val="on"/>
        <w:pBdr/>
        <w:spacing w:before="220" w:after="220" w:line="240" w:lineRule="auto"/>
        <w:ind w:left="0" w:right="0"/>
        <w:jc w:val="left"/>
      </w:pPr>
      <w:r>
        <w:rPr>
          <w:rFonts w:ascii="Calibri" w:hAnsi="Calibri" w:eastAsia="Calibri" w:cs="Calibri"/>
          <w:color w:val="000000"/>
          <w:sz w:val="22"/>
          <w:szCs w:val="22"/>
        </w:rPr>
        <w:t xml:space="preserve">McCullough DG, Poland TM, Cappaert D, Clark EL, Fraser I, Mastro V</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Effects of chipping, grinding, and heat on survival of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(Coleoptera: Buprestidae), in chips.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1304–1315.</w:t>
      </w:r>
    </w:p>
    <w:p>
      <w:pPr>
        <w:widowControl w:val="on"/>
        <w:pBdr/>
        <w:spacing w:before="220" w:after="220" w:line="240" w:lineRule="auto"/>
        <w:ind w:left="0" w:right="0"/>
        <w:jc w:val="left"/>
      </w:pPr>
      <w:r>
        <w:rPr>
          <w:rFonts w:ascii="Calibri" w:hAnsi="Calibri" w:eastAsia="Calibri" w:cs="Calibri"/>
          <w:color w:val="000000"/>
          <w:sz w:val="22"/>
          <w:szCs w:val="22"/>
        </w:rPr>
        <w:t xml:space="preserve">Metcalf H &amp; Collins JF (1911) The control of the chestnut bark disease. US Department of Agriculture, Farmers’ Bulletin 467.</w:t>
      </w:r>
    </w:p>
    <w:p>
      <w:pPr>
        <w:widowControl w:val="on"/>
        <w:pBdr/>
        <w:spacing w:before="220" w:after="220" w:line="240" w:lineRule="auto"/>
        <w:ind w:left="0" w:right="0"/>
        <w:jc w:val="left"/>
      </w:pPr>
      <w:r>
        <w:rPr>
          <w:rFonts w:ascii="Calibri" w:hAnsi="Calibri" w:eastAsia="Calibri" w:cs="Calibri"/>
          <w:color w:val="000000"/>
          <w:sz w:val="22"/>
          <w:szCs w:val="22"/>
        </w:rPr>
        <w:t xml:space="preserve">Meurisse N, Rassati D, Hurley BP, Brockerhoff EG &amp; Haack RA (2019) Common pathways by which non-native forest insects move internationally and domestically.</w:t>
      </w:r>
      <w:r>
        <w:rPr>
          <w:rFonts w:ascii="Calibri" w:hAnsi="Calibri" w:eastAsia="Calibri" w:cs="Calibri"/>
          <w:i/>
          <w:iCs/>
          <w:color w:val="000000"/>
          <w:sz w:val="22"/>
          <w:szCs w:val="22"/>
        </w:rPr>
        <w:t xml:space="preserve"> Journal of Pest Science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13–27.</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RO, Bloese PD, Hanover JW &amp; Haack RA (1991) Paper birch and European white birch vary in growth and resistance to bronze birch borer. </w:t>
      </w:r>
      <w:r>
        <w:rPr>
          <w:rFonts w:ascii="Calibri" w:hAnsi="Calibri" w:eastAsia="Calibri" w:cs="Calibri"/>
          <w:i/>
          <w:iCs/>
          <w:color w:val="000000"/>
          <w:sz w:val="22"/>
          <w:szCs w:val="22"/>
        </w:rPr>
        <w:t xml:space="preserve">Journal of the American Society for Horticultural Science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580–584.</w:t>
      </w:r>
    </w:p>
    <w:p>
      <w:pPr>
        <w:widowControl w:val="on"/>
        <w:pBdr/>
        <w:spacing w:before="220" w:after="220" w:line="240" w:lineRule="auto"/>
        <w:ind w:left="0" w:right="0"/>
        <w:jc w:val="left"/>
      </w:pPr>
      <w:r>
        <w:rPr>
          <w:rFonts w:ascii="Calibri" w:hAnsi="Calibri" w:eastAsia="Calibri" w:cs="Calibri"/>
          <w:color w:val="000000"/>
          <w:sz w:val="22"/>
          <w:szCs w:val="22"/>
        </w:rPr>
        <w:t xml:space="preserve">Millers I, Shriner DS &amp; Rizzo D. (1989) H</w:t>
      </w:r>
      <w:r>
        <w:rPr>
          <w:rFonts w:ascii="Calibri" w:hAnsi="Calibri" w:eastAsia="Calibri" w:cs="Calibri"/>
          <w:i/>
          <w:iCs/>
          <w:color w:val="000000"/>
          <w:sz w:val="22"/>
          <w:szCs w:val="22"/>
        </w:rPr>
        <w:t xml:space="preserve">istory of Hardwood Decline in the Eastern United States</w:t>
      </w:r>
      <w:r>
        <w:rPr>
          <w:rFonts w:ascii="Calibri" w:hAnsi="Calibri" w:eastAsia="Calibri" w:cs="Calibri"/>
          <w:color w:val="000000"/>
          <w:sz w:val="22"/>
          <w:szCs w:val="22"/>
        </w:rPr>
        <w:t xml:space="preserve">. USDA Forest Service, General Technical Report NE-126, Broomall (US).</w:t>
      </w:r>
    </w:p>
    <w:p>
      <w:pPr>
        <w:widowControl w:val="on"/>
        <w:pBdr/>
        <w:spacing w:before="220" w:after="220" w:line="240" w:lineRule="auto"/>
        <w:ind w:left="0" w:right="0"/>
        <w:jc w:val="left"/>
      </w:pPr>
      <w:r>
        <w:rPr>
          <w:rFonts w:ascii="Calibri" w:hAnsi="Calibri" w:eastAsia="Calibri" w:cs="Calibri"/>
          <w:color w:val="000000"/>
          <w:sz w:val="22"/>
          <w:szCs w:val="22"/>
        </w:rPr>
        <w:t xml:space="preserve">Muzika RM, Liebhold A &amp; Gottschalk K. (1997) Silvicultural methods of </w:t>
      </w:r>
      <w:r>
        <w:rPr>
          <w:rFonts w:ascii="Calibri" w:hAnsi="Calibri" w:eastAsia="Calibri" w:cs="Calibri"/>
          <w:i/>
          <w:iCs/>
          <w:color w:val="000000"/>
          <w:sz w:val="22"/>
          <w:szCs w:val="22"/>
        </w:rPr>
        <w:t xml:space="preserve">Lymantria dispar</w:t>
      </w:r>
      <w:r>
        <w:rPr>
          <w:rFonts w:ascii="Calibri" w:hAnsi="Calibri" w:eastAsia="Calibri" w:cs="Calibri"/>
          <w:color w:val="000000"/>
          <w:sz w:val="22"/>
          <w:szCs w:val="22"/>
        </w:rPr>
        <w:t xml:space="preserve"> L. management: effects on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(Weber) populations. In Proceedings: </w:t>
      </w:r>
      <w:r>
        <w:rPr>
          <w:rFonts w:ascii="Calibri" w:hAnsi="Calibri" w:eastAsia="Calibri" w:cs="Calibri"/>
          <w:i/>
          <w:iCs/>
          <w:color w:val="000000"/>
          <w:sz w:val="22"/>
          <w:szCs w:val="22"/>
        </w:rPr>
        <w:t xml:space="preserve">Integrating cultural tactics into the management of bark beetle and reforestation pests</w:t>
      </w:r>
      <w:r>
        <w:rPr>
          <w:rFonts w:ascii="Calibri" w:hAnsi="Calibri" w:eastAsia="Calibri" w:cs="Calibri"/>
          <w:color w:val="000000"/>
          <w:sz w:val="22"/>
          <w:szCs w:val="22"/>
        </w:rPr>
        <w:t xml:space="preserve"> (Eds Grégoire JC, Liebhold AM, Stephen FM, Day KR &amp; Salom SM), pp. 9–14.</w:t>
      </w:r>
    </w:p>
    <w:p>
      <w:pPr>
        <w:widowControl w:val="on"/>
        <w:pBdr/>
        <w:spacing w:before="220" w:after="220" w:line="240" w:lineRule="auto"/>
        <w:ind w:left="0" w:right="0"/>
        <w:jc w:val="left"/>
      </w:pPr>
      <w:r>
        <w:rPr>
          <w:rFonts w:ascii="Calibri" w:hAnsi="Calibri" w:eastAsia="Calibri" w:cs="Calibri"/>
          <w:color w:val="000000"/>
          <w:sz w:val="22"/>
          <w:szCs w:val="22"/>
        </w:rPr>
        <w:t xml:space="preserve">USDA Forest Service, General Technical Report NE-236, Radnor (US).</w:t>
      </w:r>
    </w:p>
    <w:p>
      <w:pPr>
        <w:widowControl w:val="on"/>
        <w:pBdr/>
        <w:spacing w:before="220" w:after="220" w:line="240" w:lineRule="auto"/>
        <w:ind w:left="0" w:right="0"/>
        <w:jc w:val="left"/>
      </w:pPr>
      <w:r>
        <w:rPr>
          <w:rFonts w:ascii="Calibri" w:hAnsi="Calibri" w:eastAsia="Calibri" w:cs="Calibri"/>
          <w:color w:val="000000"/>
          <w:sz w:val="22"/>
          <w:szCs w:val="22"/>
        </w:rPr>
        <w:t xml:space="preserve">Muzika RM, Liebhold AM &amp; Twery MJ (2000) Dynamics of twolined chestnut borer,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as influenced by defoliation and selection thinning. </w:t>
      </w:r>
      <w:r>
        <w:rPr>
          <w:rFonts w:ascii="Calibri" w:hAnsi="Calibri" w:eastAsia="Calibri" w:cs="Calibri"/>
          <w:i/>
          <w:iCs/>
          <w:color w:val="000000"/>
          <w:sz w:val="22"/>
          <w:szCs w:val="22"/>
        </w:rPr>
        <w:t xml:space="preserve">Agricultural and Forest Entomology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283–289.</w:t>
      </w:r>
    </w:p>
    <w:p>
      <w:pPr>
        <w:widowControl w:val="on"/>
        <w:pBdr/>
        <w:spacing w:before="220" w:after="220" w:line="240" w:lineRule="auto"/>
        <w:ind w:left="0" w:right="0"/>
        <w:jc w:val="left"/>
      </w:pPr>
      <w:r>
        <w:rPr>
          <w:rFonts w:ascii="Calibri" w:hAnsi="Calibri" w:eastAsia="Calibri" w:cs="Calibri"/>
          <w:color w:val="000000"/>
          <w:sz w:val="22"/>
          <w:szCs w:val="22"/>
        </w:rPr>
        <w:t xml:space="preserve">Nelson GH (1987) Additional notes on the biology and distribution of Buprestidae (Coleoptera) in North America, II. </w:t>
      </w:r>
      <w:r>
        <w:rPr>
          <w:rFonts w:ascii="Calibri" w:hAnsi="Calibri" w:eastAsia="Calibri" w:cs="Calibri"/>
          <w:i/>
          <w:iCs/>
          <w:color w:val="000000"/>
          <w:sz w:val="22"/>
          <w:szCs w:val="22"/>
        </w:rPr>
        <w:t xml:space="preserve">The 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57–65.</w:t>
      </w:r>
    </w:p>
    <w:p>
      <w:pPr>
        <w:widowControl w:val="on"/>
        <w:pBdr/>
        <w:spacing w:before="220" w:after="220" w:line="240" w:lineRule="auto"/>
        <w:ind w:left="0" w:right="0"/>
        <w:jc w:val="left"/>
      </w:pPr>
      <w:r>
        <w:rPr>
          <w:rFonts w:ascii="Calibri" w:hAnsi="Calibri" w:eastAsia="Calibri" w:cs="Calibri"/>
          <w:color w:val="000000"/>
          <w:sz w:val="22"/>
          <w:szCs w:val="22"/>
        </w:rPr>
        <w:t xml:space="preserve">Nelson GH &amp; Hespenheide HA (1998) A re-evaluation of some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Curtis species (Coleoptera: Buprestidae).</w:t>
      </w:r>
      <w:r>
        <w:rPr>
          <w:rFonts w:ascii="Calibri" w:hAnsi="Calibri" w:eastAsia="Calibri" w:cs="Calibri"/>
          <w:i/>
          <w:iCs/>
          <w:color w:val="000000"/>
          <w:sz w:val="22"/>
          <w:szCs w:val="22"/>
        </w:rPr>
        <w:t xml:space="preserve"> The Coleopterists Bulletin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31–34.</w:t>
      </w:r>
    </w:p>
    <w:p>
      <w:pPr>
        <w:widowControl w:val="on"/>
        <w:pBdr/>
        <w:spacing w:before="220" w:after="220" w:line="240" w:lineRule="auto"/>
        <w:ind w:left="0" w:right="0"/>
        <w:jc w:val="left"/>
      </w:pPr>
      <w:r>
        <w:rPr>
          <w:rFonts w:ascii="Calibri" w:hAnsi="Calibri" w:eastAsia="Calibri" w:cs="Calibri"/>
          <w:color w:val="000000"/>
          <w:sz w:val="22"/>
          <w:szCs w:val="22"/>
        </w:rPr>
        <w:t xml:space="preserve">Nelson GH, Verity DS &amp; Westcott RL (1981) Additional notes on the biology and distribution of Buprestidae (Coleoptera) of North America. T</w:t>
      </w:r>
      <w:r>
        <w:rPr>
          <w:rFonts w:ascii="Calibri" w:hAnsi="Calibri" w:eastAsia="Calibri" w:cs="Calibri"/>
          <w:i/>
          <w:iCs/>
          <w:color w:val="000000"/>
          <w:sz w:val="22"/>
          <w:szCs w:val="22"/>
        </w:rPr>
        <w:t xml:space="preserve">he Coleopterists Bulletin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129–152.</w:t>
      </w:r>
    </w:p>
    <w:p>
      <w:pPr>
        <w:widowControl w:val="on"/>
        <w:pBdr/>
        <w:spacing w:before="220" w:after="220" w:line="240" w:lineRule="auto"/>
        <w:ind w:left="0" w:right="0"/>
        <w:jc w:val="left"/>
      </w:pPr>
      <w:r>
        <w:rPr>
          <w:rFonts w:ascii="Calibri" w:hAnsi="Calibri" w:eastAsia="Calibri" w:cs="Calibri"/>
          <w:color w:val="000000"/>
          <w:sz w:val="22"/>
          <w:szCs w:val="22"/>
        </w:rPr>
        <w:t xml:space="preserve">Nelson GH, Walters GC, Haines RD &amp; Bellamy CL (2008) A catalog and bibliography of the Buprestoidea of America north of Mexico. The Coleopterists Society, Special Publication 4, 274 pp.</w:t>
      </w:r>
    </w:p>
    <w:p>
      <w:pPr>
        <w:widowControl w:val="on"/>
        <w:pBdr/>
        <w:spacing w:before="220" w:after="220" w:line="240" w:lineRule="auto"/>
        <w:ind w:left="0" w:right="0"/>
        <w:jc w:val="left"/>
      </w:pPr>
      <w:r>
        <w:rPr>
          <w:rFonts w:ascii="Calibri" w:hAnsi="Calibri" w:eastAsia="Calibri" w:cs="Calibri"/>
          <w:color w:val="000000"/>
          <w:sz w:val="22"/>
          <w:szCs w:val="22"/>
        </w:rPr>
        <w:t xml:space="preserve">Nichols JO (1968) Oak mortality in Pennsylvania: a ten-year study. </w:t>
      </w:r>
      <w:r>
        <w:rPr>
          <w:rFonts w:ascii="Calibri" w:hAnsi="Calibri" w:eastAsia="Calibri" w:cs="Calibri"/>
          <w:i/>
          <w:iCs/>
          <w:color w:val="000000"/>
          <w:sz w:val="22"/>
          <w:szCs w:val="22"/>
        </w:rPr>
        <w:t xml:space="preserve">Journal of Forestry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681–694.</w:t>
      </w:r>
    </w:p>
    <w:p>
      <w:pPr>
        <w:widowControl w:val="on"/>
        <w:pBdr/>
        <w:spacing w:before="220" w:after="220" w:line="240" w:lineRule="auto"/>
        <w:ind w:left="0" w:right="0"/>
        <w:jc w:val="left"/>
      </w:pPr>
      <w:r>
        <w:rPr>
          <w:rFonts w:ascii="Calibri" w:hAnsi="Calibri" w:eastAsia="Calibri" w:cs="Calibri"/>
          <w:color w:val="000000"/>
          <w:sz w:val="22"/>
          <w:szCs w:val="22"/>
        </w:rPr>
        <w:t xml:space="preserve">Nielsen DG, Muilenburg VL &amp; Herms DA (2011) Interspecific variation in resistance of Asian, European, and North American birches (</w:t>
      </w:r>
      <w:r>
        <w:rPr>
          <w:rFonts w:ascii="Calibri" w:hAnsi="Calibri" w:eastAsia="Calibri" w:cs="Calibri"/>
          <w:i/>
          <w:iCs/>
          <w:color w:val="000000"/>
          <w:sz w:val="22"/>
          <w:szCs w:val="22"/>
        </w:rPr>
        <w:t xml:space="preserve">Betula </w:t>
      </w:r>
      <w:r>
        <w:rPr>
          <w:rFonts w:ascii="Calibri" w:hAnsi="Calibri" w:eastAsia="Calibri" w:cs="Calibri"/>
          <w:color w:val="000000"/>
          <w:sz w:val="22"/>
          <w:szCs w:val="22"/>
        </w:rPr>
        <w:t xml:space="preserve">spp.) to bronze birch borer (Coleoptera: Buprestidae).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648–653.</w:t>
      </w:r>
    </w:p>
    <w:p>
      <w:pPr>
        <w:widowControl w:val="on"/>
        <w:pBdr/>
        <w:spacing w:before="220" w:after="220" w:line="240" w:lineRule="auto"/>
        <w:ind w:left="0" w:right="0"/>
        <w:jc w:val="left"/>
      </w:pPr>
      <w:r>
        <w:rPr>
          <w:rFonts w:ascii="Calibri" w:hAnsi="Calibri" w:eastAsia="Calibri" w:cs="Calibri"/>
          <w:color w:val="000000"/>
          <w:sz w:val="22"/>
          <w:szCs w:val="22"/>
        </w:rPr>
        <w:t xml:space="preserve">Økland B, Haack RA &amp; Wilhelmsen G (2012) Detection probability of forest pests in current inspection protocols – A case study of the bronze birch borer.</w:t>
      </w:r>
      <w:r>
        <w:rPr>
          <w:rFonts w:ascii="Calibri" w:hAnsi="Calibri" w:eastAsia="Calibri" w:cs="Calibri"/>
          <w:i/>
          <w:iCs/>
          <w:color w:val="000000"/>
          <w:sz w:val="22"/>
          <w:szCs w:val="22"/>
        </w:rPr>
        <w:t xml:space="preserve"> Scandinavian Journal of Forest Research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285–297.</w:t>
      </w:r>
    </w:p>
    <w:p>
      <w:pPr>
        <w:widowControl w:val="on"/>
        <w:pBdr/>
        <w:spacing w:before="220" w:after="220" w:line="240" w:lineRule="auto"/>
        <w:ind w:left="0" w:right="0"/>
        <w:jc w:val="left"/>
      </w:pPr>
      <w:r>
        <w:rPr>
          <w:rFonts w:ascii="Calibri" w:hAnsi="Calibri" w:eastAsia="Calibri" w:cs="Calibri"/>
          <w:color w:val="000000"/>
          <w:sz w:val="22"/>
          <w:szCs w:val="22"/>
        </w:rPr>
        <w:t xml:space="preserve">Petrice TR &amp; Haack RA (2006) Efficacy of three insecticides applied to bark to control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(Coleoptera: Buprestidae).</w:t>
      </w:r>
      <w:r>
        <w:rPr>
          <w:rFonts w:ascii="Calibri" w:hAnsi="Calibri" w:eastAsia="Calibri" w:cs="Calibri"/>
          <w:i/>
          <w:iCs/>
          <w:color w:val="000000"/>
          <w:sz w:val="22"/>
          <w:szCs w:val="22"/>
        </w:rPr>
        <w:t xml:space="preserve"> The Great Lakes Entomologist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27–33.</w:t>
      </w:r>
    </w:p>
    <w:p>
      <w:pPr>
        <w:widowControl w:val="on"/>
        <w:pBdr/>
        <w:spacing w:before="220" w:after="220" w:line="240" w:lineRule="auto"/>
        <w:ind w:left="0" w:right="0"/>
        <w:jc w:val="left"/>
      </w:pPr>
      <w:r>
        <w:rPr>
          <w:rFonts w:ascii="Calibri" w:hAnsi="Calibri" w:eastAsia="Calibri" w:cs="Calibri"/>
          <w:color w:val="000000"/>
          <w:sz w:val="22"/>
          <w:szCs w:val="22"/>
        </w:rPr>
        <w:t xml:space="preserve">Petrice TR &amp; Haack RA (2007) Can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(Coleoptera: Buprestidae), emerge from logs two summers after infested trees are cut? </w:t>
      </w:r>
      <w:r>
        <w:rPr>
          <w:rFonts w:ascii="Calibri" w:hAnsi="Calibri" w:eastAsia="Calibri" w:cs="Calibri"/>
          <w:i/>
          <w:iCs/>
          <w:color w:val="000000"/>
          <w:sz w:val="22"/>
          <w:szCs w:val="22"/>
        </w:rPr>
        <w:t xml:space="preserve">The 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92–95.</w:t>
      </w:r>
    </w:p>
    <w:p>
      <w:pPr>
        <w:widowControl w:val="on"/>
        <w:pBdr/>
        <w:spacing w:before="220" w:after="220" w:line="240" w:lineRule="auto"/>
        <w:ind w:left="0" w:right="0"/>
        <w:jc w:val="left"/>
      </w:pPr>
      <w:r>
        <w:rPr>
          <w:rFonts w:ascii="Calibri" w:hAnsi="Calibri" w:eastAsia="Calibri" w:cs="Calibri"/>
          <w:color w:val="000000"/>
          <w:sz w:val="22"/>
          <w:szCs w:val="22"/>
        </w:rPr>
        <w:t xml:space="preserve">Petrice TR &amp; Haack RA (2014) Biology of the European oak borer in Michigan, United States of America, with comparisons to the native twolined chestnut borer. </w:t>
      </w:r>
      <w:r>
        <w:rPr>
          <w:rFonts w:ascii="Calibri" w:hAnsi="Calibri" w:eastAsia="Calibri" w:cs="Calibri"/>
          <w:i/>
          <w:iCs/>
          <w:color w:val="000000"/>
          <w:sz w:val="22"/>
          <w:szCs w:val="22"/>
        </w:rPr>
        <w:t xml:space="preserve">The Canadian Entomologist </w:t>
      </w:r>
      <w:r>
        <w:rPr>
          <w:rFonts w:ascii="Calibri" w:hAnsi="Calibri" w:eastAsia="Calibri" w:cs="Calibri"/>
          <w:b/>
          <w:bCs/>
          <w:color w:val="000000"/>
          <w:sz w:val="22"/>
          <w:szCs w:val="22"/>
        </w:rPr>
        <w:t xml:space="preserve">146</w:t>
      </w:r>
      <w:r>
        <w:rPr>
          <w:rFonts w:ascii="Calibri" w:hAnsi="Calibri" w:eastAsia="Calibri" w:cs="Calibri"/>
          <w:color w:val="000000"/>
          <w:sz w:val="22"/>
          <w:szCs w:val="22"/>
        </w:rPr>
        <w:t xml:space="preserve">, 36–51.</w:t>
      </w:r>
    </w:p>
    <w:p>
      <w:pPr>
        <w:widowControl w:val="on"/>
        <w:pBdr/>
        <w:spacing w:before="220" w:after="220" w:line="240" w:lineRule="auto"/>
        <w:ind w:left="0" w:right="0"/>
        <w:jc w:val="left"/>
      </w:pPr>
      <w:r>
        <w:rPr>
          <w:rFonts w:ascii="Calibri" w:hAnsi="Calibri" w:eastAsia="Calibri" w:cs="Calibri"/>
          <w:color w:val="000000"/>
          <w:sz w:val="22"/>
          <w:szCs w:val="22"/>
        </w:rPr>
        <w:t xml:space="preserve">Petrice TR &amp; Haack RA (2015) Comparison of different trap colors and types for capturing adult Agrilus (Coleoptera: Buprestidae) and other buprestids. </w:t>
      </w:r>
      <w:r>
        <w:rPr>
          <w:rFonts w:ascii="Calibri" w:hAnsi="Calibri" w:eastAsia="Calibri" w:cs="Calibri"/>
          <w:i/>
          <w:iCs/>
          <w:color w:val="000000"/>
          <w:sz w:val="22"/>
          <w:szCs w:val="22"/>
        </w:rPr>
        <w:t xml:space="preserve">Great Lakes Entomologist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45–66.</w:t>
      </w:r>
    </w:p>
    <w:p>
      <w:pPr>
        <w:widowControl w:val="on"/>
        <w:pBdr/>
        <w:spacing w:before="220" w:after="220" w:line="240" w:lineRule="auto"/>
        <w:ind w:left="0" w:right="0"/>
        <w:jc w:val="left"/>
      </w:pPr>
      <w:r>
        <w:rPr>
          <w:rFonts w:ascii="Calibri" w:hAnsi="Calibri" w:eastAsia="Calibri" w:cs="Calibri"/>
          <w:color w:val="000000"/>
          <w:sz w:val="22"/>
          <w:szCs w:val="22"/>
        </w:rPr>
        <w:t xml:space="preserve">Poland TM, Chen Y, Koch J &amp; Pureswaran D (2015) Review of the emerald ash borer (Coleoptera: Buprestidae), life history, mating behaviours, host plant selection, and host resistance. </w:t>
      </w:r>
      <w:r>
        <w:rPr>
          <w:rFonts w:ascii="Calibri" w:hAnsi="Calibri" w:eastAsia="Calibri" w:cs="Calibri"/>
          <w:i/>
          <w:iCs/>
          <w:color w:val="000000"/>
          <w:sz w:val="22"/>
          <w:szCs w:val="22"/>
        </w:rPr>
        <w:t xml:space="preserve">The Canadian Entomologist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 252–262.</w:t>
      </w:r>
    </w:p>
    <w:p>
      <w:pPr>
        <w:widowControl w:val="on"/>
        <w:pBdr/>
        <w:spacing w:before="220" w:after="220" w:line="240" w:lineRule="auto"/>
        <w:ind w:left="0" w:right="0"/>
        <w:jc w:val="left"/>
      </w:pPr>
      <w:r>
        <w:rPr>
          <w:rFonts w:ascii="Calibri" w:hAnsi="Calibri" w:eastAsia="Calibri" w:cs="Calibri"/>
          <w:color w:val="000000"/>
          <w:sz w:val="22"/>
          <w:szCs w:val="22"/>
        </w:rPr>
        <w:t xml:space="preserve">Portal Quercus (2017) Quercus portal: A European genetic and genomic web resources for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hyperlink r:id="rId6931664b36be615ce" w:history="1">
        <w:r>
          <w:rPr>
            <w:rFonts w:ascii="Calibri" w:hAnsi="Calibri" w:eastAsia="Calibri" w:cs="Calibri"/>
            <w:color w:val="0000CC"/>
            <w:sz w:val="22"/>
            <w:szCs w:val="22"/>
            <w:u w:val="single"/>
          </w:rPr>
          <w:t xml:space="preserve">https://arachne.pierroton.inra.fr/QuercusPortal/</w:t>
        </w:r>
      </w:hyperlink>
      <w:r>
        <w:rPr>
          <w:rFonts w:ascii="Calibri" w:hAnsi="Calibri" w:eastAsia="Calibri" w:cs="Calibri"/>
          <w:color w:val="000000"/>
          <w:sz w:val="22"/>
          <w:szCs w:val="22"/>
        </w:rPr>
        <w:t xml:space="preserve"> [accessed on 01 August 2019]</w:t>
      </w:r>
    </w:p>
    <w:p>
      <w:pPr>
        <w:widowControl w:val="on"/>
        <w:pBdr/>
        <w:spacing w:before="220" w:after="220" w:line="240" w:lineRule="auto"/>
        <w:ind w:left="0" w:right="0"/>
        <w:jc w:val="left"/>
      </w:pPr>
      <w:r>
        <w:rPr>
          <w:rFonts w:ascii="Calibri" w:hAnsi="Calibri" w:eastAsia="Calibri" w:cs="Calibri"/>
          <w:color w:val="000000"/>
          <w:sz w:val="22"/>
          <w:szCs w:val="22"/>
        </w:rPr>
        <w:t xml:space="preserve">Reed K, Denman S, Leather SR, Forster J &amp; Inward DJG (2018) The lifecycle of </w:t>
      </w:r>
      <w:r>
        <w:rPr>
          <w:rFonts w:ascii="Calibri" w:hAnsi="Calibri" w:eastAsia="Calibri" w:cs="Calibri"/>
          <w:i/>
          <w:iCs/>
          <w:color w:val="000000"/>
          <w:sz w:val="22"/>
          <w:szCs w:val="22"/>
        </w:rPr>
        <w:t xml:space="preserve">Agrilus biguttatus</w:t>
      </w:r>
      <w:r>
        <w:rPr>
          <w:rFonts w:ascii="Calibri" w:hAnsi="Calibri" w:eastAsia="Calibri" w:cs="Calibri"/>
          <w:color w:val="000000"/>
          <w:sz w:val="22"/>
          <w:szCs w:val="22"/>
        </w:rPr>
        <w:t xml:space="preserve">: the role of temperature in its development and distribution, and implications for acute oak decline.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334–346.</w:t>
      </w:r>
    </w:p>
    <w:p>
      <w:pPr>
        <w:widowControl w:val="on"/>
        <w:pBdr/>
        <w:spacing w:before="220" w:after="220" w:line="240" w:lineRule="auto"/>
        <w:ind w:left="0" w:right="0"/>
        <w:jc w:val="left"/>
      </w:pPr>
      <w:r>
        <w:rPr>
          <w:rFonts w:ascii="Calibri" w:hAnsi="Calibri" w:eastAsia="Calibri" w:cs="Calibri"/>
          <w:color w:val="000000"/>
          <w:sz w:val="22"/>
          <w:szCs w:val="22"/>
        </w:rPr>
        <w:t xml:space="preserve">Sallé A, Nageleisen LM &amp; Lieutier F (2014) Bark and wood boring insects involved in oak declines in Europe: Current knowledge and future prospects in a context of climate change. </w:t>
      </w:r>
      <w:r>
        <w:rPr>
          <w:rFonts w:ascii="Calibri" w:hAnsi="Calibri" w:eastAsia="Calibri" w:cs="Calibri"/>
          <w:i/>
          <w:iCs/>
          <w:color w:val="000000"/>
          <w:sz w:val="22"/>
          <w:szCs w:val="22"/>
        </w:rPr>
        <w:t xml:space="preserve">Forest Ecology and Management </w:t>
      </w:r>
      <w:r>
        <w:rPr>
          <w:rFonts w:ascii="Calibri" w:hAnsi="Calibri" w:eastAsia="Calibri" w:cs="Calibri"/>
          <w:b/>
          <w:bCs/>
          <w:color w:val="000000"/>
          <w:sz w:val="22"/>
          <w:szCs w:val="22"/>
        </w:rPr>
        <w:t xml:space="preserve">328</w:t>
      </w:r>
      <w:r>
        <w:rPr>
          <w:rFonts w:ascii="Calibri" w:hAnsi="Calibri" w:eastAsia="Calibri" w:cs="Calibri"/>
          <w:color w:val="000000"/>
          <w:sz w:val="22"/>
          <w:szCs w:val="22"/>
        </w:rPr>
        <w:t xml:space="preserve">, 79–93.</w:t>
      </w:r>
    </w:p>
    <w:p>
      <w:pPr>
        <w:widowControl w:val="on"/>
        <w:pBdr/>
        <w:spacing w:before="220" w:after="220" w:line="240" w:lineRule="auto"/>
        <w:ind w:left="0" w:right="0"/>
        <w:jc w:val="left"/>
      </w:pPr>
      <w:r>
        <w:rPr>
          <w:rFonts w:ascii="Calibri" w:hAnsi="Calibri" w:eastAsia="Calibri" w:cs="Calibri"/>
          <w:color w:val="000000"/>
          <w:sz w:val="22"/>
          <w:szCs w:val="22"/>
        </w:rPr>
        <w:t xml:space="preserve">Smitley DR, Herms DA &amp; Davis TW (2015) Efficacy of soil-applied neonicotinoid insecticides for long-term protection against emerald ash borer (Coleoptera: Buprestidae).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2344–2353.</w:t>
      </w:r>
    </w:p>
    <w:p>
      <w:pPr>
        <w:widowControl w:val="on"/>
        <w:pBdr/>
        <w:spacing w:before="220" w:after="220" w:line="240" w:lineRule="auto"/>
        <w:ind w:left="0" w:right="0"/>
        <w:jc w:val="left"/>
      </w:pPr>
      <w:r>
        <w:rPr>
          <w:rFonts w:ascii="Calibri" w:hAnsi="Calibri" w:eastAsia="Calibri" w:cs="Calibri"/>
          <w:color w:val="000000"/>
          <w:sz w:val="22"/>
          <w:szCs w:val="22"/>
        </w:rPr>
        <w:t xml:space="preserve">Solomon JD (1995) Guide to Insect Borers in North American Broadleaf Trees and Shrubs. USDA Forest Service, Agriculture Handbook, AH-706. </w:t>
      </w:r>
      <w:hyperlink r:id="rId4343664b36be61740" w:history="1">
        <w:r>
          <w:rPr>
            <w:rFonts w:ascii="Calibri" w:hAnsi="Calibri" w:eastAsia="Calibri" w:cs="Calibri"/>
            <w:color w:val="0000CC"/>
            <w:sz w:val="22"/>
            <w:szCs w:val="22"/>
            <w:u w:val="single"/>
          </w:rPr>
          <w:t xml:space="preserve">https://www.fs.usda.gov/treesearch/pubs/22150</w:t>
        </w:r>
      </w:hyperlink>
      <w:r>
        <w:rPr>
          <w:rFonts w:ascii="Calibri" w:hAnsi="Calibri" w:eastAsia="Calibri" w:cs="Calibri"/>
          <w:color w:val="000000"/>
          <w:sz w:val="22"/>
          <w:szCs w:val="22"/>
        </w:rPr>
        <w:t xml:space="preserve"> [accessed on 01 August 2019]</w:t>
      </w:r>
    </w:p>
    <w:p>
      <w:pPr>
        <w:widowControl w:val="on"/>
        <w:pBdr/>
        <w:spacing w:before="220" w:after="220" w:line="240" w:lineRule="auto"/>
        <w:ind w:left="0" w:right="0"/>
        <w:jc w:val="left"/>
      </w:pPr>
      <w:r>
        <w:rPr>
          <w:rFonts w:ascii="Calibri" w:hAnsi="Calibri" w:eastAsia="Calibri" w:cs="Calibri"/>
          <w:color w:val="000000"/>
          <w:sz w:val="22"/>
          <w:szCs w:val="22"/>
        </w:rPr>
        <w:t xml:space="preserve">Staley JM (1965) Decline and mortality of red oak and scarlet oaks. </w:t>
      </w:r>
      <w:r>
        <w:rPr>
          <w:rFonts w:ascii="Calibri" w:hAnsi="Calibri" w:eastAsia="Calibri" w:cs="Calibri"/>
          <w:i/>
          <w:iCs/>
          <w:color w:val="000000"/>
          <w:sz w:val="22"/>
          <w:szCs w:val="22"/>
        </w:rPr>
        <w:t xml:space="preserve">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2–17.</w:t>
      </w:r>
    </w:p>
    <w:p>
      <w:pPr>
        <w:widowControl w:val="on"/>
        <w:pBdr/>
        <w:spacing w:before="220" w:after="220" w:line="240" w:lineRule="auto"/>
        <w:ind w:left="0" w:right="0"/>
        <w:jc w:val="left"/>
      </w:pPr>
      <w:r>
        <w:rPr>
          <w:rFonts w:ascii="Calibri" w:hAnsi="Calibri" w:eastAsia="Calibri" w:cs="Calibri"/>
          <w:color w:val="000000"/>
          <w:sz w:val="22"/>
          <w:szCs w:val="22"/>
        </w:rPr>
        <w:t xml:space="preserve">Stambaugh WJ, Fergus CL, Craighead FC &amp; Thompson HE (1955) Viable spores of </w:t>
      </w:r>
      <w:r>
        <w:rPr>
          <w:rFonts w:ascii="Calibri" w:hAnsi="Calibri" w:eastAsia="Calibri" w:cs="Calibri"/>
          <w:i/>
          <w:iCs/>
          <w:color w:val="000000"/>
          <w:sz w:val="22"/>
          <w:szCs w:val="22"/>
        </w:rPr>
        <w:t xml:space="preserve">Endoconidiophora fagacearum</w:t>
      </w:r>
      <w:r>
        <w:rPr>
          <w:rFonts w:ascii="Calibri" w:hAnsi="Calibri" w:eastAsia="Calibri" w:cs="Calibri"/>
          <w:color w:val="000000"/>
          <w:sz w:val="22"/>
          <w:szCs w:val="22"/>
        </w:rPr>
        <w:t xml:space="preserve"> from bark and wood-boring beetles. </w:t>
      </w:r>
      <w:r>
        <w:rPr>
          <w:rFonts w:ascii="Calibri" w:hAnsi="Calibri" w:eastAsia="Calibri" w:cs="Calibri"/>
          <w:i/>
          <w:iCs/>
          <w:color w:val="000000"/>
          <w:sz w:val="22"/>
          <w:szCs w:val="22"/>
        </w:rPr>
        <w:t xml:space="preserve">Plant Disease Reporter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867–871.</w:t>
      </w:r>
    </w:p>
    <w:p>
      <w:pPr>
        <w:widowControl w:val="on"/>
        <w:pBdr/>
        <w:spacing w:before="220" w:after="220" w:line="240" w:lineRule="auto"/>
        <w:ind w:left="0" w:right="0"/>
        <w:jc w:val="left"/>
      </w:pPr>
      <w:r>
        <w:rPr>
          <w:rFonts w:ascii="Calibri" w:hAnsi="Calibri" w:eastAsia="Calibri" w:cs="Calibri"/>
          <w:color w:val="000000"/>
          <w:sz w:val="22"/>
          <w:szCs w:val="22"/>
        </w:rPr>
        <w:t xml:space="preserve">Stringer JW, Kimmerer TW, Overstreet JB &amp; Dunn JP (1989) Oak mortality in eastern Kentucky. </w:t>
      </w:r>
      <w:r>
        <w:rPr>
          <w:rFonts w:ascii="Calibri" w:hAnsi="Calibri" w:eastAsia="Calibri" w:cs="Calibri"/>
          <w:i/>
          <w:iCs/>
          <w:color w:val="000000"/>
          <w:sz w:val="22"/>
          <w:szCs w:val="22"/>
        </w:rPr>
        <w:t xml:space="preserve">Southern Journal of Applied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86–91.</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RAJ, Bauer LS, Poland TM &amp; Windell KN (2010) Flight performance of </w:t>
      </w:r>
      <w:r>
        <w:rPr>
          <w:rFonts w:ascii="Calibri" w:hAnsi="Calibri" w:eastAsia="Calibri" w:cs="Calibri"/>
          <w:i/>
          <w:iCs/>
          <w:color w:val="000000"/>
          <w:sz w:val="22"/>
          <w:szCs w:val="22"/>
        </w:rPr>
        <w:t xml:space="preserve">Agrilus planipennis </w:t>
      </w:r>
      <w:r>
        <w:rPr>
          <w:rFonts w:ascii="Calibri" w:hAnsi="Calibri" w:eastAsia="Calibri" w:cs="Calibri"/>
          <w:color w:val="000000"/>
          <w:sz w:val="22"/>
          <w:szCs w:val="22"/>
        </w:rPr>
        <w:t xml:space="preserve">(Coleoptera: Buprestidae) on a flight mill and in free flight. </w:t>
      </w:r>
      <w:r>
        <w:rPr>
          <w:rFonts w:ascii="Calibri" w:hAnsi="Calibri" w:eastAsia="Calibri" w:cs="Calibri"/>
          <w:i/>
          <w:iCs/>
          <w:color w:val="000000"/>
          <w:sz w:val="22"/>
          <w:szCs w:val="22"/>
        </w:rPr>
        <w:t xml:space="preserve">Journal of Insect Behavior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128–148.</w:t>
      </w:r>
    </w:p>
    <w:p>
      <w:pPr>
        <w:widowControl w:val="on"/>
        <w:pBdr/>
        <w:spacing w:before="220" w:after="220" w:line="240" w:lineRule="auto"/>
        <w:ind w:left="0" w:right="0"/>
        <w:jc w:val="left"/>
      </w:pPr>
      <w:r>
        <w:rPr>
          <w:rFonts w:ascii="Calibri" w:hAnsi="Calibri" w:eastAsia="Calibri" w:cs="Calibri"/>
          <w:color w:val="000000"/>
          <w:sz w:val="22"/>
          <w:szCs w:val="22"/>
        </w:rPr>
        <w:t xml:space="preserve">VTFPR (Vermont Department of Forests, Parks and Recreation) (2011) Forest Insect and Disease Conditions in Vermont 2011. Vermont Agency of Natural Resources, Department of Forests, Parks &amp; Recreation, Waterbury (US). </w:t>
      </w:r>
      <w:hyperlink r:id="rId7148664b36be6191b" w:history="1">
        <w:r>
          <w:rPr>
            <w:rFonts w:ascii="Calibri" w:hAnsi="Calibri" w:eastAsia="Calibri" w:cs="Calibri"/>
            <w:color w:val="0000CC"/>
            <w:sz w:val="22"/>
            <w:szCs w:val="22"/>
            <w:u w:val="single"/>
          </w:rPr>
          <w:t xml:space="preserve">https://fpr.vermont.gov/sites/fpr/files/Forest_and_Forestry/Forest_Health/Library/Final2011ConditionsReport.pdf</w:t>
        </w:r>
      </w:hyperlink>
      <w:r>
        <w:rPr>
          <w:rFonts w:ascii="Calibri" w:hAnsi="Calibri" w:eastAsia="Calibri" w:cs="Calibri"/>
          <w:color w:val="000000"/>
          <w:sz w:val="22"/>
          <w:szCs w:val="22"/>
        </w:rPr>
        <w:t xml:space="preserve"> [accessed on 01 August 2019]</w:t>
      </w:r>
    </w:p>
    <w:p>
      <w:pPr>
        <w:widowControl w:val="on"/>
        <w:pBdr/>
        <w:spacing w:before="220" w:after="220" w:line="240" w:lineRule="auto"/>
        <w:ind w:left="0" w:right="0"/>
        <w:jc w:val="left"/>
      </w:pPr>
      <w:r>
        <w:rPr>
          <w:rFonts w:ascii="Calibri" w:hAnsi="Calibri" w:eastAsia="Calibri" w:cs="Calibri"/>
          <w:color w:val="000000"/>
          <w:sz w:val="22"/>
          <w:szCs w:val="22"/>
        </w:rPr>
        <w:t xml:space="preserve">Wargo PM (1977) </w:t>
      </w:r>
      <w:r>
        <w:rPr>
          <w:rFonts w:ascii="Calibri" w:hAnsi="Calibri" w:eastAsia="Calibri" w:cs="Calibri"/>
          <w:i/>
          <w:iCs/>
          <w:color w:val="000000"/>
          <w:sz w:val="22"/>
          <w:szCs w:val="22"/>
        </w:rPr>
        <w:t xml:space="preserve">Armillariella mellea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and mortality of defoliated oak trees.</w:t>
      </w:r>
      <w:r>
        <w:rPr>
          <w:rFonts w:ascii="Calibri" w:hAnsi="Calibri" w:eastAsia="Calibri" w:cs="Calibri"/>
          <w:i/>
          <w:iCs/>
          <w:color w:val="000000"/>
          <w:sz w:val="22"/>
          <w:szCs w:val="22"/>
        </w:rPr>
        <w:t xml:space="preserve"> 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485–492.</w:t>
      </w:r>
    </w:p>
    <w:p>
      <w:pPr>
        <w:widowControl w:val="on"/>
        <w:pBdr/>
        <w:spacing w:before="220" w:after="220" w:line="240" w:lineRule="auto"/>
        <w:ind w:left="0" w:right="0"/>
        <w:jc w:val="left"/>
      </w:pPr>
      <w:r>
        <w:rPr>
          <w:rFonts w:ascii="Calibri" w:hAnsi="Calibri" w:eastAsia="Calibri" w:cs="Calibri"/>
          <w:color w:val="000000"/>
          <w:sz w:val="22"/>
          <w:szCs w:val="22"/>
        </w:rPr>
        <w:t xml:space="preserve">Wargo PM, Houston DR &amp; LaMadeleine LA (1983) Oak Decline. </w:t>
      </w:r>
      <w:r>
        <w:rPr>
          <w:rFonts w:ascii="Calibri" w:hAnsi="Calibri" w:eastAsia="Calibri" w:cs="Calibri"/>
          <w:i/>
          <w:iCs/>
          <w:color w:val="000000"/>
          <w:sz w:val="22"/>
          <w:szCs w:val="22"/>
        </w:rPr>
        <w:t xml:space="preserve">Forest Insect &amp; Disease Leaflet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165</w:t>
      </w:r>
      <w:r>
        <w:rPr>
          <w:rFonts w:ascii="Calibri" w:hAnsi="Calibri" w:eastAsia="Calibri" w:cs="Calibri"/>
          <w:color w:val="000000"/>
          <w:sz w:val="22"/>
          <w:szCs w:val="22"/>
        </w:rPr>
        <w:t xml:space="preserve">. USDA Forest Service, Washington (US)</w:t>
      </w:r>
    </w:p>
    <w:p>
      <w:pPr>
        <w:widowControl w:val="on"/>
        <w:pBdr/>
        <w:spacing w:before="220" w:after="220" w:line="240" w:lineRule="auto"/>
        <w:ind w:left="0" w:right="0"/>
        <w:jc w:val="left"/>
      </w:pPr>
      <w:r>
        <w:rPr>
          <w:rFonts w:ascii="Calibri" w:hAnsi="Calibri" w:eastAsia="Calibri" w:cs="Calibri"/>
          <w:color w:val="000000"/>
          <w:sz w:val="22"/>
          <w:szCs w:val="22"/>
        </w:rPr>
        <w:t xml:space="preserve">Webster RP &amp; DeMerchant I (2012) New Coleoptera records from New Brunswick, Canada: Buprestidae. </w:t>
      </w:r>
      <w:r>
        <w:rPr>
          <w:rFonts w:ascii="Calibri" w:hAnsi="Calibri" w:eastAsia="Calibri" w:cs="Calibri"/>
          <w:i/>
          <w:iCs/>
          <w:color w:val="000000"/>
          <w:sz w:val="22"/>
          <w:szCs w:val="22"/>
        </w:rPr>
        <w:t xml:space="preserve">ZooKeys </w:t>
      </w:r>
      <w:r>
        <w:rPr>
          <w:rFonts w:ascii="Calibri" w:hAnsi="Calibri" w:eastAsia="Calibri" w:cs="Calibri"/>
          <w:b/>
          <w:bCs/>
          <w:color w:val="000000"/>
          <w:sz w:val="22"/>
          <w:szCs w:val="22"/>
        </w:rPr>
        <w:t xml:space="preserve">179</w:t>
      </w:r>
      <w:r>
        <w:rPr>
          <w:rFonts w:ascii="Calibri" w:hAnsi="Calibri" w:eastAsia="Calibri" w:cs="Calibri"/>
          <w:color w:val="000000"/>
          <w:sz w:val="22"/>
          <w:szCs w:val="22"/>
        </w:rPr>
        <w:t xml:space="preserve">, 55–65.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by Robert A. Haack and Toby R. Petrice, US Department of Agriculture, Forest Service, Northern Research Station, Lansing, MI, USA.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EPPO datasheets on pests recommended for regulation. Available online. </w:t>
      </w:r>
      <w:hyperlink r:id="rId2332664b36be61b2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2020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(2020)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158-165. </w:t>
      </w:r>
      <w:hyperlink r:id="rId1969664b36be61c00" w:history="1">
        <w:r>
          <w:rPr>
            <w:rFonts w:ascii="Calibri" w:hAnsi="Calibri" w:eastAsia="Calibri" w:cs="Calibri"/>
            <w:color w:val="0000CC"/>
            <w:sz w:val="22"/>
            <w:szCs w:val="22"/>
            <w:u w:val="single"/>
          </w:rPr>
          <w:t xml:space="preserve">https://onlinelibrary.wiley.com/doi/epdf/10.1111/epp.12641</w:t>
        </w:r>
      </w:hyperlink>
      <w:r>
        <w:rPr>
          <w:rFonts w:ascii="Calibri" w:hAnsi="Calibri" w:eastAsia="Calibri" w:cs="Calibri"/>
          <w:color w:val="000000"/>
          <w:sz w:val="22"/>
          <w:szCs w:val="22"/>
        </w:rPr>
        <w:t xml:space="preserve"> </w:t>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537481">
    <w:multiLevelType w:val="hybridMultilevel"/>
    <w:lvl w:ilvl="0" w:tplc="41769150">
      <w:start w:val="1"/>
      <w:numFmt w:val="decimal"/>
      <w:lvlText w:val="%1."/>
      <w:lvlJc w:val="left"/>
      <w:pPr>
        <w:ind w:left="720" w:hanging="360"/>
      </w:pPr>
    </w:lvl>
    <w:lvl w:ilvl="1" w:tplc="41769150" w:tentative="1">
      <w:start w:val="1"/>
      <w:numFmt w:val="lowerLetter"/>
      <w:lvlText w:val="%2."/>
      <w:lvlJc w:val="left"/>
      <w:pPr>
        <w:ind w:left="1440" w:hanging="360"/>
      </w:pPr>
    </w:lvl>
    <w:lvl w:ilvl="2" w:tplc="41769150" w:tentative="1">
      <w:start w:val="1"/>
      <w:numFmt w:val="lowerRoman"/>
      <w:lvlText w:val="%3."/>
      <w:lvlJc w:val="right"/>
      <w:pPr>
        <w:ind w:left="2160" w:hanging="180"/>
      </w:pPr>
    </w:lvl>
    <w:lvl w:ilvl="3" w:tplc="41769150" w:tentative="1">
      <w:start w:val="1"/>
      <w:numFmt w:val="decimal"/>
      <w:lvlText w:val="%4."/>
      <w:lvlJc w:val="left"/>
      <w:pPr>
        <w:ind w:left="2880" w:hanging="360"/>
      </w:pPr>
    </w:lvl>
    <w:lvl w:ilvl="4" w:tplc="41769150" w:tentative="1">
      <w:start w:val="1"/>
      <w:numFmt w:val="lowerLetter"/>
      <w:lvlText w:val="%5."/>
      <w:lvlJc w:val="left"/>
      <w:pPr>
        <w:ind w:left="3600" w:hanging="360"/>
      </w:pPr>
    </w:lvl>
    <w:lvl w:ilvl="5" w:tplc="41769150" w:tentative="1">
      <w:start w:val="1"/>
      <w:numFmt w:val="lowerRoman"/>
      <w:lvlText w:val="%6."/>
      <w:lvlJc w:val="right"/>
      <w:pPr>
        <w:ind w:left="4320" w:hanging="180"/>
      </w:pPr>
    </w:lvl>
    <w:lvl w:ilvl="6" w:tplc="41769150" w:tentative="1">
      <w:start w:val="1"/>
      <w:numFmt w:val="decimal"/>
      <w:lvlText w:val="%7."/>
      <w:lvlJc w:val="left"/>
      <w:pPr>
        <w:ind w:left="5040" w:hanging="360"/>
      </w:pPr>
    </w:lvl>
    <w:lvl w:ilvl="7" w:tplc="41769150" w:tentative="1">
      <w:start w:val="1"/>
      <w:numFmt w:val="lowerLetter"/>
      <w:lvlText w:val="%8."/>
      <w:lvlJc w:val="left"/>
      <w:pPr>
        <w:ind w:left="5760" w:hanging="360"/>
      </w:pPr>
    </w:lvl>
    <w:lvl w:ilvl="8" w:tplc="41769150" w:tentative="1">
      <w:start w:val="1"/>
      <w:numFmt w:val="lowerRoman"/>
      <w:lvlText w:val="%9."/>
      <w:lvlJc w:val="right"/>
      <w:pPr>
        <w:ind w:left="6480" w:hanging="180"/>
      </w:pPr>
    </w:lvl>
  </w:abstractNum>
  <w:abstractNum w:abstractNumId="31537480">
    <w:multiLevelType w:val="hybridMultilevel"/>
    <w:lvl w:ilvl="0" w:tplc="431117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537480">
    <w:abstractNumId w:val="31537480"/>
  </w:num>
  <w:num w:numId="31537481">
    <w:abstractNumId w:val="3153748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01334652" Type="http://schemas.microsoft.com/office/2011/relationships/commentsExtended" Target="commentsExtended.xml"/><Relationship Id="rId426460056" Type="http://schemas.microsoft.com/office/2011/relationships/people" Target="people.xml"/><Relationship Id="rId8172664b36be5c1d3" Type="http://schemas.openxmlformats.org/officeDocument/2006/relationships/hyperlink" Target="https://gd.eppo.int/taxon/AGRLBL/" TargetMode="External"/><Relationship Id="rId1166664b36be5c21e" Type="http://schemas.openxmlformats.org/officeDocument/2006/relationships/hyperlink" Target="https://gd.eppo.int/taxon/AGRLBL/categorization" TargetMode="External"/><Relationship Id="rId7476664b36be5cb2f" Type="http://schemas.openxmlformats.org/officeDocument/2006/relationships/hyperlink" Target="https://gd.eppo.int/taxon/AGRLBL/photos" TargetMode="External"/><Relationship Id="rId4999664b36be5fb3c" Type="http://schemas.openxmlformats.org/officeDocument/2006/relationships/hyperlink" Target="https://doi.org/10.1371/journal.pone.0033185." TargetMode="External"/><Relationship Id="rId9533664b36be60288" Type="http://schemas.openxmlformats.org/officeDocument/2006/relationships/hyperlink" Target="https://gd.eppo.int/taxon/AGRLBL/documents" TargetMode="External"/><Relationship Id="rId4249664b36be602ea" Type="http://schemas.openxmlformats.org/officeDocument/2006/relationships/hyperlink" Target="https://gd.eppo.int/taxon/AGRLBL/documents" TargetMode="External"/><Relationship Id="rId9047664b36be6086e" Type="http://schemas.openxmlformats.org/officeDocument/2006/relationships/hyperlink" Target="http://www.emeraldashborer.info/files/Multistate_EAB_Insecticide_Fact_Sheet.pdf" TargetMode="External"/><Relationship Id="rId6931664b36be615ce" Type="http://schemas.openxmlformats.org/officeDocument/2006/relationships/hyperlink" Target="https://arachne.pierroton.inra.fr/QuercusPortal/" TargetMode="External"/><Relationship Id="rId4343664b36be61740" Type="http://schemas.openxmlformats.org/officeDocument/2006/relationships/hyperlink" Target="https://www.fs.usda.gov/treesearch/pubs/22150" TargetMode="External"/><Relationship Id="rId7148664b36be6191b" Type="http://schemas.openxmlformats.org/officeDocument/2006/relationships/hyperlink" Target="https://fpr.vermont.gov/sites/fpr/files/Forest_and_Forestry/Forest_Health/Library/Final2011ConditionsReport.pdf" TargetMode="External"/><Relationship Id="rId2332664b36be61b2b" Type="http://schemas.openxmlformats.org/officeDocument/2006/relationships/hyperlink" Target="https://gd.eppo.int" TargetMode="External"/><Relationship Id="rId1969664b36be61c00" Type="http://schemas.openxmlformats.org/officeDocument/2006/relationships/hyperlink" Target="https://onlinelibrary.wiley.com/doi/epdf/10.1111/epp.12641" TargetMode="External"/><Relationship Id="rId2192664b36be5ca01" Type="http://schemas.openxmlformats.org/officeDocument/2006/relationships/image" Target="media/imgrId2192664b36be5ca01.jpg"/><Relationship Id="rId9325664b36be5dbce" Type="http://schemas.openxmlformats.org/officeDocument/2006/relationships/image" Target="media/imgrId9325664b36be5dbce.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